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3" w:rsidRDefault="00284333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030B5B" w:rsidRPr="00594CF5" w:rsidRDefault="00C845E1" w:rsidP="00030B5B">
      <w:pPr>
        <w:pStyle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Министерство науки и высшего образования российской федерации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B77D3C" w:rsidRDefault="00B77D3C" w:rsidP="00B77D3C">
      <w:pPr>
        <w:jc w:val="both"/>
        <w:rPr>
          <w:rFonts w:ascii="Arial Narrow" w:hAnsi="Arial Narrow"/>
          <w:b/>
          <w:szCs w:val="28"/>
        </w:rPr>
      </w:pPr>
    </w:p>
    <w:p w:rsidR="00B77D3C" w:rsidRPr="00B77D3C" w:rsidRDefault="00B77D3C" w:rsidP="00B77D3C">
      <w:pPr>
        <w:jc w:val="both"/>
        <w:rPr>
          <w:rFonts w:ascii="Arial Narrow" w:hAnsi="Arial Narrow"/>
          <w:b/>
          <w:szCs w:val="28"/>
        </w:rPr>
      </w:pPr>
      <w:bookmarkStart w:id="0" w:name="_GoBack"/>
      <w:r w:rsidRPr="00B77D3C">
        <w:rPr>
          <w:rFonts w:ascii="Arial Narrow" w:hAnsi="Arial Narrow"/>
          <w:b/>
          <w:szCs w:val="28"/>
        </w:rPr>
        <w:t>Тренды на рынке труда с учетом постковидной реальности обсудили на TNF-2021</w:t>
      </w:r>
    </w:p>
    <w:bookmarkEnd w:id="0"/>
    <w:p w:rsidR="00B77D3C" w:rsidRDefault="00B77D3C" w:rsidP="00B77D3C">
      <w:pPr>
        <w:jc w:val="both"/>
        <w:rPr>
          <w:rFonts w:ascii="Arial Narrow" w:hAnsi="Arial Narrow"/>
          <w:sz w:val="22"/>
          <w:szCs w:val="22"/>
        </w:rPr>
      </w:pPr>
    </w:p>
    <w:p w:rsid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17 сентября 2021 года</w:t>
      </w:r>
    </w:p>
    <w:p w:rsidR="00B77D3C" w:rsidRPr="00B77D3C" w:rsidRDefault="00B77D3C" w:rsidP="00B77D3C">
      <w:pPr>
        <w:jc w:val="both"/>
        <w:rPr>
          <w:rFonts w:ascii="Arial Narrow" w:hAnsi="Arial Narrow"/>
          <w:sz w:val="22"/>
          <w:szCs w:val="22"/>
        </w:rPr>
      </w:pP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b/>
          <w:sz w:val="24"/>
          <w:szCs w:val="22"/>
        </w:rPr>
      </w:pPr>
      <w:r w:rsidRPr="00B77D3C">
        <w:rPr>
          <w:rFonts w:ascii="Arial Narrow" w:hAnsi="Arial Narrow"/>
          <w:b/>
          <w:sz w:val="24"/>
          <w:szCs w:val="22"/>
        </w:rPr>
        <w:t>Тюменский нефтегазовый форум-2021 состоялся в областной столице с 14 по 16 сентября. Тюменский индустриальный университет выступил его официальным партнером и провел панельную сессию «Рынок труда в постковидной реальности: новые парадигмы и новые тренды». Эксперты обсудили тенденции трудоустройства молодых специалистов и определяющие требования работодателей к потенциальным соискателям в условиях современных реалий.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В качестве спикеров сессии выступили замгубернатора Тюменской области, директор областного департамента образования и науки </w:t>
      </w:r>
      <w:r w:rsidRPr="00B77D3C">
        <w:rPr>
          <w:rFonts w:ascii="Arial Narrow" w:hAnsi="Arial Narrow"/>
          <w:b/>
          <w:sz w:val="22"/>
          <w:szCs w:val="22"/>
        </w:rPr>
        <w:t>Алексей Райдер</w:t>
      </w:r>
      <w:r w:rsidRPr="00B77D3C">
        <w:rPr>
          <w:rFonts w:ascii="Arial Narrow" w:hAnsi="Arial Narrow"/>
          <w:sz w:val="22"/>
          <w:szCs w:val="22"/>
        </w:rPr>
        <w:t>; советник губернатора Тюменской области </w:t>
      </w:r>
      <w:r w:rsidRPr="00B77D3C">
        <w:rPr>
          <w:rFonts w:ascii="Arial Narrow" w:hAnsi="Arial Narrow"/>
          <w:b/>
          <w:sz w:val="22"/>
          <w:szCs w:val="22"/>
        </w:rPr>
        <w:t>Наталья Шевчик</w:t>
      </w:r>
      <w:r w:rsidRPr="00B77D3C">
        <w:rPr>
          <w:rFonts w:ascii="Arial Narrow" w:hAnsi="Arial Narrow"/>
          <w:sz w:val="22"/>
          <w:szCs w:val="22"/>
        </w:rPr>
        <w:t>; генеральный директор Государственной комиссии по запасам полезных ископаемых Игорь Шпуров; ректор ТИУ </w:t>
      </w:r>
      <w:r w:rsidRPr="00B77D3C">
        <w:rPr>
          <w:rFonts w:ascii="Arial Narrow" w:hAnsi="Arial Narrow"/>
          <w:b/>
          <w:sz w:val="22"/>
          <w:szCs w:val="22"/>
        </w:rPr>
        <w:t>Вероника Ефремова</w:t>
      </w:r>
      <w:r w:rsidRPr="00B77D3C">
        <w:rPr>
          <w:rFonts w:ascii="Arial Narrow" w:hAnsi="Arial Narrow"/>
          <w:sz w:val="22"/>
          <w:szCs w:val="22"/>
        </w:rPr>
        <w:t>; руководитель департамента труда и занятости населения Тюменской области </w:t>
      </w:r>
      <w:r w:rsidRPr="00B77D3C">
        <w:rPr>
          <w:rFonts w:ascii="Arial Narrow" w:hAnsi="Arial Narrow"/>
          <w:b/>
          <w:sz w:val="22"/>
          <w:szCs w:val="22"/>
        </w:rPr>
        <w:t>Александр Сидоров</w:t>
      </w:r>
      <w:r w:rsidRPr="00B77D3C">
        <w:rPr>
          <w:rFonts w:ascii="Arial Narrow" w:hAnsi="Arial Narrow"/>
          <w:sz w:val="22"/>
          <w:szCs w:val="22"/>
        </w:rPr>
        <w:t>; ректор корпоративного университета ПАО «Газпром нефть» </w:t>
      </w:r>
      <w:r w:rsidRPr="00B77D3C">
        <w:rPr>
          <w:rFonts w:ascii="Arial Narrow" w:hAnsi="Arial Narrow"/>
          <w:b/>
          <w:sz w:val="22"/>
          <w:szCs w:val="22"/>
        </w:rPr>
        <w:t>Илья Дементьев</w:t>
      </w:r>
      <w:r w:rsidRPr="00B77D3C">
        <w:rPr>
          <w:rFonts w:ascii="Arial Narrow" w:hAnsi="Arial Narrow"/>
          <w:sz w:val="22"/>
          <w:szCs w:val="22"/>
        </w:rPr>
        <w:t>, а также председатели Вьетнамского Института Нефти Университета Янцзы, компаний HH.ru и Mail.ru Group. Модератором сессии выступил управляющий директор РБК ТВ </w:t>
      </w:r>
      <w:r w:rsidRPr="00B77D3C">
        <w:rPr>
          <w:rFonts w:ascii="Arial Narrow" w:hAnsi="Arial Narrow"/>
          <w:b/>
          <w:sz w:val="22"/>
          <w:szCs w:val="22"/>
        </w:rPr>
        <w:t>Илья Доронов</w:t>
      </w:r>
      <w:r w:rsidRPr="00B77D3C">
        <w:rPr>
          <w:rFonts w:ascii="Arial Narrow" w:hAnsi="Arial Narrow"/>
          <w:sz w:val="22"/>
          <w:szCs w:val="22"/>
        </w:rPr>
        <w:t>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Беспрецедентный по своему масштабу коронакризис привел к разбалансировке и дестабилизации на рынке труда. Глобальный локдаун, спад экономической активности – негативная динамика этих изменений ощущалась и ощущается буквально в каждой сфере.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По мнению ректора ТИУ </w:t>
      </w:r>
      <w:r w:rsidRPr="00B77D3C">
        <w:rPr>
          <w:rFonts w:ascii="Arial Narrow" w:hAnsi="Arial Narrow"/>
          <w:b/>
          <w:sz w:val="22"/>
          <w:szCs w:val="22"/>
        </w:rPr>
        <w:t>Вероники Ефремовой</w:t>
      </w:r>
      <w:r w:rsidRPr="00B77D3C">
        <w:rPr>
          <w:rFonts w:ascii="Arial Narrow" w:hAnsi="Arial Narrow"/>
          <w:sz w:val="22"/>
          <w:szCs w:val="22"/>
        </w:rPr>
        <w:t>, сегодня пандемия воспринимается высшей школой как импульс для качественной перестройки всей системы образования.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«</w:t>
      </w:r>
      <w:r w:rsidRPr="00B77D3C">
        <w:rPr>
          <w:rFonts w:ascii="Arial Narrow" w:hAnsi="Arial Narrow"/>
          <w:i/>
          <w:sz w:val="22"/>
          <w:szCs w:val="22"/>
        </w:rPr>
        <w:t>Несмотря на то, что эта система являлась до недавнего времени одним из наиболее консервативных институтов, этот вызов мы приняли. Новая парадигма труда и занятости меняет ориентиры образования, ландшафт и методологию образовательного процесса, которые все больше становятся индивидуализированными и включёнными в цифровой контекст»</w:t>
      </w:r>
      <w:r w:rsidRPr="00B77D3C">
        <w:rPr>
          <w:rFonts w:ascii="Arial Narrow" w:hAnsi="Arial Narrow"/>
          <w:sz w:val="22"/>
          <w:szCs w:val="22"/>
        </w:rPr>
        <w:t>, - отметила </w:t>
      </w:r>
      <w:r w:rsidRPr="00B77D3C">
        <w:rPr>
          <w:rFonts w:ascii="Arial Narrow" w:hAnsi="Arial Narrow"/>
          <w:b/>
          <w:sz w:val="22"/>
          <w:szCs w:val="22"/>
        </w:rPr>
        <w:t>Вероника Ефремова.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В этом ключе, по мнению ректора, одной из успешных практик является партнерское объединение ТИУ и ПАО «Газпром нефть».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i/>
          <w:sz w:val="22"/>
          <w:szCs w:val="22"/>
        </w:rPr>
        <w:t>«Наш партнер в Тюмени – это ТИУ, вместе мы создаем программы дополнительного образования, например, запускаем Фабрику процессов площадью 400 квадратных метров. Мы стремимся чтобы в университетах что-то поменялось, поэтому компания участвует в создании контента образовательных курсов, направляет сотрудников на обучение, повышает их квалификацию»,</w:t>
      </w:r>
      <w:r w:rsidRPr="00B77D3C">
        <w:rPr>
          <w:rFonts w:ascii="Arial Narrow" w:hAnsi="Arial Narrow"/>
          <w:sz w:val="22"/>
          <w:szCs w:val="22"/>
        </w:rPr>
        <w:t xml:space="preserve"> - поддержал эту мысль ректор корпоративного университета ПАО «Газпром нефть» </w:t>
      </w:r>
      <w:r w:rsidRPr="00B77D3C">
        <w:rPr>
          <w:rFonts w:ascii="Arial Narrow" w:hAnsi="Arial Narrow"/>
          <w:b/>
          <w:sz w:val="22"/>
          <w:szCs w:val="22"/>
        </w:rPr>
        <w:t>Илья Дементьев.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Он также добавил, что скорость, с которой на рынке труда появляются новые профессии и уходят старые, такова, что сотрудничество классического и корпоративного университета при подготовке высококвалифицированного специалиста становится необходимым.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Система подготовки кадров не живет изолированно от тенденций рынка труда, а пандемия принесла новые гибридные возможности обучения. Об этом, а также о многом другом рассказал на панельной сессии замгубернатора Тюменской области </w:t>
      </w:r>
      <w:r w:rsidRPr="00B77D3C">
        <w:rPr>
          <w:rFonts w:ascii="Arial Narrow" w:hAnsi="Arial Narrow"/>
          <w:b/>
          <w:sz w:val="22"/>
          <w:szCs w:val="22"/>
        </w:rPr>
        <w:t>Алексей Райдер</w:t>
      </w:r>
      <w:r w:rsidRPr="00B77D3C">
        <w:rPr>
          <w:rFonts w:ascii="Arial Narrow" w:hAnsi="Arial Narrow"/>
          <w:sz w:val="22"/>
          <w:szCs w:val="22"/>
        </w:rPr>
        <w:t>. Отдельно он остановился на рассуждении о том, что же важнее для студента, обладать мягкими или жесткими навыками.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i/>
          <w:sz w:val="22"/>
          <w:szCs w:val="22"/>
        </w:rPr>
        <w:lastRenderedPageBreak/>
        <w:t>«Любому работодателю нужно, чтобы специалист обладал базовыми знаниями и компетенциями, поэтому запросы и требования к жестким навыкам с повестки не ушли. Сейчас любой студент имеет возможность в онлайн-форматах добрать себе мягких компетенций, а мы со стороны образовательной системы должны обеспечить достойную базу</w:t>
      </w:r>
      <w:r w:rsidRPr="00B77D3C">
        <w:rPr>
          <w:rFonts w:ascii="Arial Narrow" w:hAnsi="Arial Narrow"/>
          <w:sz w:val="22"/>
          <w:szCs w:val="22"/>
        </w:rPr>
        <w:t>», - сказал </w:t>
      </w:r>
      <w:r w:rsidRPr="00B77D3C">
        <w:rPr>
          <w:rFonts w:ascii="Arial Narrow" w:hAnsi="Arial Narrow"/>
          <w:b/>
          <w:sz w:val="22"/>
          <w:szCs w:val="22"/>
        </w:rPr>
        <w:t>Алексей Райдер.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 xml:space="preserve">Эту мысль продолжила </w:t>
      </w:r>
      <w:r w:rsidRPr="0031688D">
        <w:rPr>
          <w:rFonts w:ascii="Arial Narrow" w:hAnsi="Arial Narrow"/>
          <w:b/>
          <w:sz w:val="22"/>
          <w:szCs w:val="22"/>
        </w:rPr>
        <w:t>Вероника Ефремова</w:t>
      </w:r>
      <w:r w:rsidRPr="00B77D3C">
        <w:rPr>
          <w:rFonts w:ascii="Arial Narrow" w:hAnsi="Arial Narrow"/>
          <w:sz w:val="22"/>
          <w:szCs w:val="22"/>
        </w:rPr>
        <w:t>, отметив, что студентам нужны софт-компетенции, но в другой пропорции: «</w:t>
      </w:r>
      <w:r w:rsidRPr="0031688D">
        <w:rPr>
          <w:rFonts w:ascii="Arial Narrow" w:hAnsi="Arial Narrow"/>
          <w:i/>
          <w:sz w:val="22"/>
          <w:szCs w:val="22"/>
        </w:rPr>
        <w:t>Индустрии сегодня нужны инженеры, обладающие гибкими навыками, но особенно, важен опыт участия в реальных проектах и бизнес-симуляциях. Такие практики способствуют формированию не только профессиональных компетенций обучающихся, погружая во все этапы воспроизводства основных технологических и бизнес процессов компании, но и совершенствуют управленческие, аналитические, коммуникационные и другие навыки».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Подготовке конкурентоспособных выпускников на рынке труда способствуют компании, которые своевременно формулируют запрос на востребованных специалистов. На вопрос, какие профессии актуальны уже сейчас и будут востребованы в ближайшие десятилетия, ответил гендиректор ФБУ «ГКЗ» Игорь Шпуров. Это специалисты по подземным хранилищам газов и по добыче гидроминерального сырья. По словам эксперта, за рубежом нет еще таких кадров, и в этом Россия может быть первой.</w:t>
      </w:r>
    </w:p>
    <w:p w:rsidR="00B77D3C" w:rsidRPr="0031688D" w:rsidRDefault="00B77D3C" w:rsidP="00B77D3C">
      <w:pPr>
        <w:ind w:firstLine="708"/>
        <w:jc w:val="both"/>
        <w:rPr>
          <w:rFonts w:ascii="Arial Narrow" w:hAnsi="Arial Narrow"/>
          <w:i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Своими мыслями по теме сессии поделилась советник губернатора Тюменской области </w:t>
      </w:r>
      <w:r w:rsidRPr="0031688D">
        <w:rPr>
          <w:rFonts w:ascii="Arial Narrow" w:hAnsi="Arial Narrow"/>
          <w:b/>
          <w:sz w:val="22"/>
          <w:szCs w:val="22"/>
        </w:rPr>
        <w:t>Наталья Шевчик: </w:t>
      </w:r>
      <w:r w:rsidRPr="0031688D">
        <w:rPr>
          <w:rFonts w:ascii="Arial Narrow" w:hAnsi="Arial Narrow"/>
          <w:i/>
          <w:sz w:val="22"/>
          <w:szCs w:val="22"/>
        </w:rPr>
        <w:t>«Пандемия меняет тренды, и крупные работодатели становятся более открытыми с точки зрения понимания того, что им нужно. Это путь поиска, постоянных размышлений. Корпоративные университеты должны более тесно работать с нашими вузами. Но тогда требуется от вуза очень большая мобильность в том, какой есть запрос. Сегодня об этом стоит рассуждать».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О повышении эффективности работы департамента труда и занятости Тюменской области с образовательными организациями рассказал Александр Сидоров, отметив, что в ближайшем будущем также планируется усилить связи между центрами занятости и компаниями интернет-рекрутмента, разделить потоки между мотивированными и немотивированными на трудоустройство гражданами.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Подводя итоги сессии, </w:t>
      </w:r>
      <w:r w:rsidRPr="0031688D">
        <w:rPr>
          <w:rFonts w:ascii="Arial Narrow" w:hAnsi="Arial Narrow"/>
          <w:b/>
          <w:sz w:val="22"/>
          <w:szCs w:val="22"/>
        </w:rPr>
        <w:t>Вероника Ефремова</w:t>
      </w:r>
      <w:r w:rsidRPr="00B77D3C">
        <w:rPr>
          <w:rFonts w:ascii="Arial Narrow" w:hAnsi="Arial Narrow"/>
          <w:sz w:val="22"/>
          <w:szCs w:val="22"/>
        </w:rPr>
        <w:t xml:space="preserve"> обозначила перспективу развития университета в условиях новой реальности: </w:t>
      </w:r>
      <w:r w:rsidRPr="0031688D">
        <w:rPr>
          <w:rFonts w:ascii="Arial Narrow" w:hAnsi="Arial Narrow"/>
          <w:i/>
          <w:sz w:val="22"/>
          <w:szCs w:val="22"/>
        </w:rPr>
        <w:t>«Для того, чтобы быть конкурентоспособными и претендовать на стратегическое академическое лидерство, вузы должны быть восприимчивыми для новых идей, которые меняют технологические и жизненные уклады, определяя наше будущее. Тюменский индустриальный университет открыт для изменений и готов быть амбасадором трансформации в обществе, при этом осознавая высокую степень социальной ответственности за принимаемые и реализуемые решения».</w:t>
      </w:r>
    </w:p>
    <w:p w:rsidR="00B77D3C" w:rsidRPr="00B77D3C" w:rsidRDefault="00B77D3C" w:rsidP="00B77D3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77D3C">
        <w:rPr>
          <w:rFonts w:ascii="Arial Narrow" w:hAnsi="Arial Narrow"/>
          <w:sz w:val="22"/>
          <w:szCs w:val="22"/>
        </w:rPr>
        <w:t>Разговор о трендах на рынке труда планируется продолжить на следующем Тюменском нефтегазовом форуме, который состоится ровно через год.</w:t>
      </w:r>
    </w:p>
    <w:p w:rsidR="00B77D3C" w:rsidRPr="00B77D3C" w:rsidRDefault="00B77D3C" w:rsidP="00B77D3C">
      <w:pPr>
        <w:tabs>
          <w:tab w:val="left" w:pos="3668"/>
        </w:tabs>
        <w:jc w:val="both"/>
        <w:rPr>
          <w:rFonts w:ascii="Arial Narrow" w:hAnsi="Arial Narrow"/>
          <w:sz w:val="22"/>
          <w:szCs w:val="22"/>
        </w:rPr>
      </w:pPr>
    </w:p>
    <w:p w:rsidR="009A19B7" w:rsidRDefault="009A19B7" w:rsidP="00463120">
      <w:pPr>
        <w:jc w:val="both"/>
        <w:rPr>
          <w:rFonts w:ascii="Arial Narrow" w:hAnsi="Arial Narrow"/>
          <w:sz w:val="22"/>
          <w:szCs w:val="22"/>
        </w:rPr>
      </w:pPr>
    </w:p>
    <w:p w:rsidR="00321E56" w:rsidRPr="00321E56" w:rsidRDefault="00AB6A18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Отдел медиа и внешних коммуникаций</w:t>
      </w:r>
      <w:r w:rsidR="00321E56" w:rsidRPr="00321E56">
        <w:rPr>
          <w:rFonts w:ascii="Arial Narrow" w:hAnsi="Arial Narrow"/>
          <w:b/>
          <w:sz w:val="22"/>
          <w:szCs w:val="22"/>
        </w:rPr>
        <w:t xml:space="preserve"> ТИУ</w:t>
      </w:r>
    </w:p>
    <w:p w:rsidR="00321E56" w:rsidRDefault="00321E56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8(3452)390330</w:t>
      </w:r>
    </w:p>
    <w:p w:rsidR="00B712AD" w:rsidRDefault="00B712AD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B712AD" w:rsidRPr="00797B1B" w:rsidRDefault="00B712AD" w:rsidP="00B712AD">
      <w:pPr>
        <w:rPr>
          <w:rFonts w:ascii="Arial Narrow" w:hAnsi="Arial Narrow"/>
          <w:sz w:val="22"/>
          <w:szCs w:val="22"/>
        </w:rPr>
      </w:pPr>
      <w:r w:rsidRPr="00797B1B">
        <w:rPr>
          <w:rFonts w:ascii="Arial Narrow" w:hAnsi="Arial Narrow"/>
          <w:sz w:val="22"/>
          <w:szCs w:val="22"/>
        </w:rPr>
        <w:t>С</w:t>
      </w:r>
      <w:r>
        <w:rPr>
          <w:rFonts w:ascii="Arial Narrow" w:hAnsi="Arial Narrow"/>
          <w:sz w:val="22"/>
          <w:szCs w:val="22"/>
        </w:rPr>
        <w:t>оциальные сети</w:t>
      </w:r>
    </w:p>
    <w:p w:rsidR="00B712AD" w:rsidRDefault="00B712AD" w:rsidP="00B712AD">
      <w:r w:rsidRPr="00797B1B">
        <w:rPr>
          <w:rFonts w:ascii="Arial Narrow" w:hAnsi="Arial Narrow"/>
          <w:sz w:val="22"/>
          <w:szCs w:val="22"/>
        </w:rPr>
        <w:t xml:space="preserve">Ключевые события </w:t>
      </w:r>
      <w:r>
        <w:rPr>
          <w:rFonts w:ascii="Arial Narrow" w:hAnsi="Arial Narrow"/>
          <w:sz w:val="22"/>
          <w:szCs w:val="22"/>
        </w:rPr>
        <w:t>Тюменского индустриального университета</w:t>
      </w:r>
      <w:r w:rsidRPr="00797B1B">
        <w:rPr>
          <w:rFonts w:ascii="Arial Narrow" w:hAnsi="Arial Narrow"/>
          <w:sz w:val="22"/>
          <w:szCs w:val="22"/>
        </w:rPr>
        <w:t xml:space="preserve"> в Телеграм-канале</w:t>
      </w:r>
      <w:r>
        <w:rPr>
          <w:rFonts w:ascii="Arial Narrow" w:hAnsi="Arial Narrow"/>
          <w:sz w:val="22"/>
          <w:szCs w:val="22"/>
        </w:rPr>
        <w:t>:</w:t>
      </w:r>
      <w:r w:rsidRPr="00BA279A">
        <w:t xml:space="preserve"> </w:t>
      </w:r>
      <w:hyperlink r:id="rId8" w:tgtFrame="_blank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me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industrial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_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university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_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tmn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712AD" w:rsidRPr="00BA279A" w:rsidRDefault="00B712AD" w:rsidP="00B712AD">
      <w:pPr>
        <w:rPr>
          <w:rFonts w:ascii="Arial Narrow" w:hAnsi="Arial Narrow"/>
          <w:sz w:val="22"/>
          <w:szCs w:val="22"/>
          <w:lang w:val="en-US"/>
        </w:rPr>
      </w:pPr>
      <w:r w:rsidRPr="00797B1B">
        <w:rPr>
          <w:rFonts w:ascii="Arial Narrow" w:hAnsi="Arial Narrow"/>
          <w:sz w:val="22"/>
          <w:szCs w:val="22"/>
        </w:rPr>
        <w:t>ВКонтакте</w:t>
      </w:r>
      <w:r w:rsidRPr="00BA279A">
        <w:rPr>
          <w:rFonts w:ascii="Arial Narrow" w:hAnsi="Arial Narrow"/>
          <w:sz w:val="22"/>
          <w:szCs w:val="22"/>
          <w:lang w:val="en-US"/>
        </w:rPr>
        <w:t xml:space="preserve">: </w:t>
      </w:r>
      <w:hyperlink r:id="rId9" w:history="1">
        <w:r w:rsidRPr="00BA279A">
          <w:rPr>
            <w:rStyle w:val="a3"/>
            <w:rFonts w:ascii="Arial Narrow" w:hAnsi="Arial Narrow"/>
            <w:sz w:val="22"/>
            <w:szCs w:val="22"/>
            <w:lang w:val="en-US"/>
          </w:rPr>
          <w:t>https://vk.com/industrial_u</w:t>
        </w:r>
      </w:hyperlink>
      <w:r>
        <w:rPr>
          <w:rFonts w:ascii="Arial Narrow" w:hAnsi="Arial Narrow"/>
          <w:sz w:val="22"/>
          <w:szCs w:val="22"/>
          <w:lang w:val="en-US"/>
        </w:rPr>
        <w:t xml:space="preserve">, </w:t>
      </w:r>
      <w:hyperlink r:id="rId10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vk.com/abiturient_tyuiu</w:t>
        </w:r>
      </w:hyperlink>
    </w:p>
    <w:p w:rsidR="00B712AD" w:rsidRPr="00BA279A" w:rsidRDefault="00B712AD" w:rsidP="00B712AD">
      <w:pPr>
        <w:rPr>
          <w:rFonts w:ascii="Arial Narrow" w:hAnsi="Arial Narrow"/>
          <w:sz w:val="22"/>
          <w:szCs w:val="22"/>
          <w:lang w:val="en-US"/>
        </w:rPr>
      </w:pPr>
      <w:r w:rsidRPr="00BA279A">
        <w:rPr>
          <w:rFonts w:ascii="Arial Narrow" w:hAnsi="Arial Narrow"/>
          <w:sz w:val="22"/>
          <w:szCs w:val="22"/>
          <w:lang w:val="en-US"/>
        </w:rPr>
        <w:t xml:space="preserve">Instagram: </w:t>
      </w:r>
      <w:hyperlink r:id="rId11" w:tgtFrame="_blank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instagram.com/industrial_university/</w:t>
        </w:r>
      </w:hyperlink>
    </w:p>
    <w:p w:rsidR="00B712AD" w:rsidRPr="00BA279A" w:rsidRDefault="00B712AD" w:rsidP="00B712AD">
      <w:pPr>
        <w:rPr>
          <w:lang w:val="en-US"/>
        </w:rPr>
      </w:pPr>
      <w:r w:rsidRPr="00BA279A">
        <w:rPr>
          <w:rFonts w:ascii="Arial Narrow" w:hAnsi="Arial Narrow"/>
          <w:sz w:val="22"/>
          <w:szCs w:val="22"/>
          <w:lang w:val="en-US"/>
        </w:rPr>
        <w:t>Facebook:</w:t>
      </w:r>
      <w:r w:rsidRPr="00BA279A">
        <w:rPr>
          <w:lang w:val="en-US"/>
        </w:rPr>
        <w:t xml:space="preserve"> </w:t>
      </w:r>
      <w:hyperlink r:id="rId12" w:tgtFrame="_blank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facebook.com/industrialuniversitytmn/</w:t>
        </w:r>
      </w:hyperlink>
    </w:p>
    <w:p w:rsidR="00B712AD" w:rsidRPr="00B712AD" w:rsidRDefault="00B712AD" w:rsidP="00B712AD">
      <w:pPr>
        <w:rPr>
          <w:rFonts w:ascii="Arial Narrow" w:hAnsi="Arial Narrow"/>
          <w:sz w:val="22"/>
          <w:szCs w:val="22"/>
          <w:lang w:val="en-US"/>
        </w:rPr>
      </w:pPr>
    </w:p>
    <w:p w:rsidR="00B712AD" w:rsidRPr="00797B1B" w:rsidRDefault="00B712AD" w:rsidP="00B712AD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Сайт</w:t>
      </w:r>
      <w:r w:rsidRPr="00BA279A">
        <w:rPr>
          <w:rFonts w:ascii="Arial Narrow" w:hAnsi="Arial Narrow"/>
          <w:sz w:val="22"/>
          <w:szCs w:val="22"/>
          <w:lang w:val="en-US"/>
        </w:rPr>
        <w:t xml:space="preserve">: </w:t>
      </w:r>
      <w:hyperlink r:id="rId13" w:tgtFrame="_blank" w:history="1"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tyuiu.ru</w:t>
        </w:r>
      </w:hyperlink>
    </w:p>
    <w:p w:rsidR="00B712AD" w:rsidRPr="00B712AD" w:rsidRDefault="00B712AD" w:rsidP="00637488">
      <w:pPr>
        <w:ind w:firstLine="708"/>
        <w:jc w:val="both"/>
        <w:rPr>
          <w:rFonts w:ascii="Arial Narrow" w:hAnsi="Arial Narrow"/>
          <w:b/>
          <w:sz w:val="22"/>
          <w:szCs w:val="22"/>
          <w:lang w:val="en-US"/>
        </w:rPr>
      </w:pPr>
    </w:p>
    <w:sectPr w:rsidR="00B712AD" w:rsidRPr="00B7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28" w:rsidRDefault="008E0628" w:rsidP="00C11FD8">
      <w:r>
        <w:separator/>
      </w:r>
    </w:p>
  </w:endnote>
  <w:endnote w:type="continuationSeparator" w:id="0">
    <w:p w:rsidR="008E0628" w:rsidRDefault="008E0628" w:rsidP="00C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28" w:rsidRDefault="008E0628" w:rsidP="00C11FD8">
      <w:r>
        <w:separator/>
      </w:r>
    </w:p>
  </w:footnote>
  <w:footnote w:type="continuationSeparator" w:id="0">
    <w:p w:rsidR="008E0628" w:rsidRDefault="008E0628" w:rsidP="00C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0AE"/>
    <w:multiLevelType w:val="hybridMultilevel"/>
    <w:tmpl w:val="766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E98"/>
    <w:multiLevelType w:val="multilevel"/>
    <w:tmpl w:val="809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45FB0"/>
    <w:multiLevelType w:val="multilevel"/>
    <w:tmpl w:val="572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F"/>
    <w:rsid w:val="00030B5B"/>
    <w:rsid w:val="0006369C"/>
    <w:rsid w:val="000C5E03"/>
    <w:rsid w:val="000E6A41"/>
    <w:rsid w:val="00107681"/>
    <w:rsid w:val="00153C1C"/>
    <w:rsid w:val="0016558D"/>
    <w:rsid w:val="001C4475"/>
    <w:rsid w:val="00226BEB"/>
    <w:rsid w:val="0025660A"/>
    <w:rsid w:val="00266D28"/>
    <w:rsid w:val="00284333"/>
    <w:rsid w:val="002A35E6"/>
    <w:rsid w:val="002E2746"/>
    <w:rsid w:val="002F1283"/>
    <w:rsid w:val="002F6F57"/>
    <w:rsid w:val="0031688D"/>
    <w:rsid w:val="00321506"/>
    <w:rsid w:val="00321E56"/>
    <w:rsid w:val="003359DF"/>
    <w:rsid w:val="00344161"/>
    <w:rsid w:val="0038302B"/>
    <w:rsid w:val="00397271"/>
    <w:rsid w:val="0042416E"/>
    <w:rsid w:val="00436559"/>
    <w:rsid w:val="004539B8"/>
    <w:rsid w:val="00463120"/>
    <w:rsid w:val="004C32FB"/>
    <w:rsid w:val="004C39F6"/>
    <w:rsid w:val="004C3EC0"/>
    <w:rsid w:val="004D0238"/>
    <w:rsid w:val="004F5BFE"/>
    <w:rsid w:val="00581FF7"/>
    <w:rsid w:val="00583F67"/>
    <w:rsid w:val="005902A7"/>
    <w:rsid w:val="0059517B"/>
    <w:rsid w:val="00595C29"/>
    <w:rsid w:val="005970B7"/>
    <w:rsid w:val="005A30EF"/>
    <w:rsid w:val="005B5E70"/>
    <w:rsid w:val="005B6991"/>
    <w:rsid w:val="005F08A0"/>
    <w:rsid w:val="00602511"/>
    <w:rsid w:val="0061007A"/>
    <w:rsid w:val="0062610E"/>
    <w:rsid w:val="00637488"/>
    <w:rsid w:val="006526FF"/>
    <w:rsid w:val="006D5CAC"/>
    <w:rsid w:val="006F0568"/>
    <w:rsid w:val="0073146B"/>
    <w:rsid w:val="00755516"/>
    <w:rsid w:val="007730F1"/>
    <w:rsid w:val="007827DE"/>
    <w:rsid w:val="007A2112"/>
    <w:rsid w:val="007C3BDB"/>
    <w:rsid w:val="007C77FB"/>
    <w:rsid w:val="00832426"/>
    <w:rsid w:val="00845E56"/>
    <w:rsid w:val="00852565"/>
    <w:rsid w:val="00853A19"/>
    <w:rsid w:val="0087481F"/>
    <w:rsid w:val="0087740D"/>
    <w:rsid w:val="008B4F41"/>
    <w:rsid w:val="008E0628"/>
    <w:rsid w:val="008F5A9C"/>
    <w:rsid w:val="00921128"/>
    <w:rsid w:val="009271E5"/>
    <w:rsid w:val="00927BD7"/>
    <w:rsid w:val="00935097"/>
    <w:rsid w:val="00942B80"/>
    <w:rsid w:val="009A02B8"/>
    <w:rsid w:val="009A19B7"/>
    <w:rsid w:val="009B1C42"/>
    <w:rsid w:val="009C1E2A"/>
    <w:rsid w:val="009D2CE0"/>
    <w:rsid w:val="00A12A36"/>
    <w:rsid w:val="00A50D02"/>
    <w:rsid w:val="00A568DD"/>
    <w:rsid w:val="00A67C10"/>
    <w:rsid w:val="00A8275C"/>
    <w:rsid w:val="00A8285D"/>
    <w:rsid w:val="00AA0DD4"/>
    <w:rsid w:val="00AA650A"/>
    <w:rsid w:val="00AA6847"/>
    <w:rsid w:val="00AA68C8"/>
    <w:rsid w:val="00AB2B6D"/>
    <w:rsid w:val="00AB2BC2"/>
    <w:rsid w:val="00AB69F5"/>
    <w:rsid w:val="00AB6A18"/>
    <w:rsid w:val="00AC0F95"/>
    <w:rsid w:val="00AC1F08"/>
    <w:rsid w:val="00AD586B"/>
    <w:rsid w:val="00AD6C46"/>
    <w:rsid w:val="00AF6026"/>
    <w:rsid w:val="00B233D3"/>
    <w:rsid w:val="00B23CF2"/>
    <w:rsid w:val="00B41B48"/>
    <w:rsid w:val="00B47F05"/>
    <w:rsid w:val="00B712AD"/>
    <w:rsid w:val="00B77D3C"/>
    <w:rsid w:val="00BB169E"/>
    <w:rsid w:val="00BB29FF"/>
    <w:rsid w:val="00BF584F"/>
    <w:rsid w:val="00C11FD8"/>
    <w:rsid w:val="00C55236"/>
    <w:rsid w:val="00C83B15"/>
    <w:rsid w:val="00C845E1"/>
    <w:rsid w:val="00CA723D"/>
    <w:rsid w:val="00CB0807"/>
    <w:rsid w:val="00CB2E40"/>
    <w:rsid w:val="00CB6C2A"/>
    <w:rsid w:val="00CC08EF"/>
    <w:rsid w:val="00CE46C9"/>
    <w:rsid w:val="00D32FB7"/>
    <w:rsid w:val="00D42B0D"/>
    <w:rsid w:val="00D57845"/>
    <w:rsid w:val="00D63B17"/>
    <w:rsid w:val="00D86945"/>
    <w:rsid w:val="00DE0C3C"/>
    <w:rsid w:val="00DF025B"/>
    <w:rsid w:val="00E01ED1"/>
    <w:rsid w:val="00E63FCD"/>
    <w:rsid w:val="00E70B48"/>
    <w:rsid w:val="00E96B09"/>
    <w:rsid w:val="00EE6B89"/>
    <w:rsid w:val="00F218F9"/>
    <w:rsid w:val="00F37A9C"/>
    <w:rsid w:val="00F45A12"/>
    <w:rsid w:val="00F642F6"/>
    <w:rsid w:val="00F82944"/>
    <w:rsid w:val="00F85DDF"/>
    <w:rsid w:val="00FA2224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A03D-EC77-455A-B9AE-C9080F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8D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568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A568DD"/>
    <w:rPr>
      <w:b/>
      <w:bCs/>
    </w:rPr>
  </w:style>
  <w:style w:type="paragraph" w:styleId="aa">
    <w:name w:val="List Paragraph"/>
    <w:basedOn w:val="a"/>
    <w:uiPriority w:val="34"/>
    <w:qFormat/>
    <w:rsid w:val="00602511"/>
    <w:pPr>
      <w:ind w:left="720"/>
      <w:contextualSpacing/>
    </w:pPr>
  </w:style>
  <w:style w:type="character" w:styleId="ab">
    <w:name w:val="Emphasis"/>
    <w:basedOn w:val="a0"/>
    <w:uiPriority w:val="20"/>
    <w:qFormat/>
    <w:rsid w:val="00B77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3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5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.me%2Findustrial_university_tmn&amp;cc_key=" TargetMode="External"/><Relationship Id="rId13" Type="http://schemas.openxmlformats.org/officeDocument/2006/relationships/hyperlink" Target="https://vk.com/away.php?to=http%3A%2F%2Ftyuiu.ru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%3A%2F%2Ffacebook.com%2Findustrialuniversitytmn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instagram.com%2Findustrial_university%2F&amp;cc_key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k.com/abiturient_tyu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dustrial_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Яркова  Лариса Юрьевна</cp:lastModifiedBy>
  <cp:revision>2</cp:revision>
  <dcterms:created xsi:type="dcterms:W3CDTF">2021-09-17T05:16:00Z</dcterms:created>
  <dcterms:modified xsi:type="dcterms:W3CDTF">2021-09-17T05:16:00Z</dcterms:modified>
</cp:coreProperties>
</file>