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C" w:rsidRDefault="00D04FA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EF10C0" w:rsidRDefault="00EF10C0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D04FAC" w:rsidRPr="00346A31" w:rsidTr="00191A42">
        <w:trPr>
          <w:cantSplit/>
          <w:trHeight w:val="1417"/>
        </w:trPr>
        <w:tc>
          <w:tcPr>
            <w:tcW w:w="9322" w:type="dxa"/>
            <w:tcBorders>
              <w:top w:val="single" w:sz="4" w:space="0" w:color="808080"/>
            </w:tcBorders>
            <w:shd w:val="clear" w:color="auto" w:fill="auto"/>
          </w:tcPr>
          <w:p w:rsidR="00D04FAC" w:rsidRPr="00346A31" w:rsidRDefault="00D04FAC" w:rsidP="00191A42">
            <w:pPr>
              <w:pStyle w:val="2"/>
              <w:spacing w:after="0" w:line="100" w:lineRule="atLeas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Ассоциация</w:t>
            </w:r>
            <w:r w:rsidRPr="00346A3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по развитию международных исследований и проектов в области энергетики «Глобальная энергия»</w:t>
            </w:r>
          </w:p>
          <w:p w:rsidR="00B83C19" w:rsidRDefault="00D04FAC" w:rsidP="00191A42">
            <w:pPr>
              <w:pStyle w:val="2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80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A02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</w:t>
            </w:r>
            <w:r w:rsidRPr="00346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 w:rsidRPr="00346A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04FAC" w:rsidRPr="00B83C19" w:rsidRDefault="00D04FAC" w:rsidP="00B83C19">
            <w:pPr>
              <w:jc w:val="center"/>
            </w:pPr>
          </w:p>
        </w:tc>
      </w:tr>
    </w:tbl>
    <w:p w:rsidR="00DA4179" w:rsidRDefault="00DA4179" w:rsidP="008C3CB1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</w:p>
    <w:p w:rsidR="008C3CB1" w:rsidRPr="001365CC" w:rsidRDefault="008C3CB1" w:rsidP="008C3CB1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 xml:space="preserve">ВЭФ-2018: </w:t>
      </w:r>
      <w:r w:rsidRPr="00A74739">
        <w:rPr>
          <w:rStyle w:val="af3"/>
          <w:rFonts w:ascii="Times New Roman" w:hAnsi="Times New Roman" w:cs="Times New Roman"/>
          <w:sz w:val="24"/>
          <w:szCs w:val="24"/>
        </w:rPr>
        <w:t>Ученые возглавят региональный энергетический диалог: итоги панельной сессии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A74739">
        <w:rPr>
          <w:rStyle w:val="af3"/>
          <w:rFonts w:ascii="Times New Roman" w:hAnsi="Times New Roman" w:cs="Times New Roman"/>
          <w:sz w:val="24"/>
          <w:szCs w:val="24"/>
        </w:rPr>
        <w:t>«Энергетическое сотрудничество в Северо-Восточной Азии»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8C3CB1" w:rsidRDefault="008C3CB1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:rsidR="002F08B9" w:rsidRPr="00704F69" w:rsidRDefault="00CD5F31" w:rsidP="00704F69">
      <w:pPr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i/>
          <w:sz w:val="24"/>
          <w:szCs w:val="24"/>
        </w:rPr>
        <w:t>11 сентября</w:t>
      </w:r>
      <w:r w:rsidR="00340F36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>на</w:t>
      </w:r>
      <w:r w:rsidR="00340F36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="001365CC" w:rsidRPr="00704F69">
        <w:rPr>
          <w:rStyle w:val="af3"/>
          <w:rFonts w:ascii="Times New Roman" w:hAnsi="Times New Roman" w:cs="Times New Roman"/>
          <w:i/>
          <w:sz w:val="24"/>
          <w:szCs w:val="24"/>
        </w:rPr>
        <w:t>ВЭФ-2018</w:t>
      </w:r>
      <w:r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состо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ялась </w:t>
      </w:r>
      <w:r w:rsidRPr="00704F69">
        <w:rPr>
          <w:rStyle w:val="af3"/>
          <w:rFonts w:ascii="Times New Roman" w:hAnsi="Times New Roman" w:cs="Times New Roman"/>
          <w:i/>
          <w:sz w:val="24"/>
          <w:szCs w:val="24"/>
        </w:rPr>
        <w:t>панельная сессия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«Энергетическое сотрудничество в Северо-Восточной Азии». Международные эксперты, главы научных институтов и руководители организаций оценили перспективы </w:t>
      </w:r>
      <w:r w:rsidR="003618F6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энергетического 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сотрудничества в </w:t>
      </w:r>
      <w:r w:rsidR="00DA5A04" w:rsidRPr="00704F69">
        <w:rPr>
          <w:rStyle w:val="af3"/>
          <w:rFonts w:ascii="Times New Roman" w:hAnsi="Times New Roman" w:cs="Times New Roman"/>
          <w:i/>
          <w:sz w:val="24"/>
          <w:szCs w:val="24"/>
        </w:rPr>
        <w:t>регионе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и</w:t>
      </w:r>
      <w:r w:rsidR="00DA5A04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определили механизмы его активизации.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="00B87DE0" w:rsidRPr="00704F69">
        <w:rPr>
          <w:rStyle w:val="af3"/>
          <w:rFonts w:ascii="Times New Roman" w:hAnsi="Times New Roman" w:cs="Times New Roman"/>
          <w:i/>
          <w:sz w:val="24"/>
          <w:szCs w:val="24"/>
        </w:rPr>
        <w:t>Организатор</w:t>
      </w:r>
      <w:r w:rsidR="00E610B2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ом </w:t>
      </w:r>
      <w:r w:rsidR="00B87DE0" w:rsidRPr="00704F69">
        <w:rPr>
          <w:rStyle w:val="af3"/>
          <w:rFonts w:ascii="Times New Roman" w:hAnsi="Times New Roman" w:cs="Times New Roman"/>
          <w:i/>
          <w:sz w:val="24"/>
          <w:szCs w:val="24"/>
        </w:rPr>
        <w:t>сессии</w:t>
      </w:r>
      <w:r w:rsidR="00B87DE0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E13485" w:rsidRPr="00704F69">
        <w:rPr>
          <w:rStyle w:val="af3"/>
          <w:rFonts w:ascii="Times New Roman" w:hAnsi="Times New Roman" w:cs="Times New Roman"/>
          <w:i/>
          <w:sz w:val="24"/>
          <w:szCs w:val="24"/>
        </w:rPr>
        <w:t>выступила</w:t>
      </w:r>
      <w:r w:rsidR="00E610B2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="00B87DE0" w:rsidRPr="00704F69">
        <w:rPr>
          <w:rStyle w:val="af3"/>
          <w:rFonts w:ascii="Times New Roman" w:hAnsi="Times New Roman" w:cs="Times New Roman"/>
          <w:i/>
          <w:sz w:val="24"/>
          <w:szCs w:val="24"/>
        </w:rPr>
        <w:t xml:space="preserve">ассоциация по развитию международных исследований и проектов в области энергетики </w:t>
      </w:r>
      <w:hyperlink r:id="rId8" w:history="1">
        <w:r w:rsidR="00340F36" w:rsidRPr="00704F69">
          <w:rPr>
            <w:rStyle w:val="ab"/>
            <w:rFonts w:ascii="Times New Roman" w:hAnsi="Times New Roman" w:cs="Times New Roman"/>
            <w:i/>
            <w:sz w:val="24"/>
            <w:szCs w:val="24"/>
          </w:rPr>
          <w:t>«Глобальная энергия»</w:t>
        </w:r>
        <w:r w:rsidR="00B87DE0" w:rsidRPr="00704F69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340F36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336A73" w:rsidRPr="00704F69" w:rsidRDefault="00511A66" w:rsidP="00704F69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Эксперты пришли к выводу, что создание общего энергетического рынка имеет принципиальное значение для стран региона и будет стимулировать решение вопросов энергетической </w:t>
      </w:r>
      <w:r w:rsidR="00704F6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безопасности, обеспечения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мира и усто</w:t>
      </w:r>
      <w:r w:rsidR="00704F6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йчивого экономического развития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:rsidR="00DC7C6F" w:rsidRPr="00704F69" w:rsidRDefault="00DC7C6F" w:rsidP="00704F69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Рае </w:t>
      </w:r>
      <w:proofErr w:type="spellStart"/>
      <w:r w:rsidRPr="00704F69"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="005B22FC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FC" w:rsidRPr="00704F69">
        <w:rPr>
          <w:rStyle w:val="af3"/>
          <w:rFonts w:ascii="Times New Roman" w:hAnsi="Times New Roman" w:cs="Times New Roman"/>
          <w:sz w:val="24"/>
          <w:szCs w:val="24"/>
        </w:rPr>
        <w:t>Чунг</w:t>
      </w:r>
      <w:proofErr w:type="spellEnd"/>
      <w:r w:rsidR="00105D0C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(Южная Корея)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 член Международного комитета по присуждению премии «Глобальная энергия», лауреат Нобелевской премии мира отметил, что создание регионального энергетического рынка в долгосрочной перспективе откроет возможности для поставщи</w:t>
      </w:r>
      <w:r w:rsidR="00DA417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ков и потребителей энергии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создаст необходимую инфраструктуру и дополнительные </w:t>
      </w:r>
      <w:proofErr w:type="spellStart"/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энергообъекты</w:t>
      </w:r>
      <w:proofErr w:type="spellEnd"/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По этой причине необходимо начать процесс энергетической интеграции, которая решит проблему энергетического голода. Эксперт </w:t>
      </w:r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подчеркнул, что выгоду от общего энергетического рынка получат все страны региона, 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при этом </w:t>
      </w:r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Россия как основной поставщик энергии станет лидером процесса интеграции. «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Россия обладает огромным потенциалом для экспорта энергоресурсов. Мировая доля производства первичной энергии в России составляет 10,4%, в то время как ее доля потребления энергии в 2017 году составила лишь </w:t>
      </w:r>
      <w:r w:rsidR="008D39C2">
        <w:rPr>
          <w:rStyle w:val="af3"/>
          <w:rFonts w:ascii="Times New Roman" w:hAnsi="Times New Roman" w:cs="Times New Roman"/>
          <w:b w:val="0"/>
          <w:sz w:val="24"/>
          <w:szCs w:val="24"/>
        </w:rPr>
        <w:t>5,2%</w:t>
      </w:r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», - подытожил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спикер.</w:t>
      </w:r>
      <w:r w:rsidRPr="00704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62" w:rsidRPr="00704F69" w:rsidRDefault="00DF701C" w:rsidP="00704F69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С м</w:t>
      </w:r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нение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м</w:t>
      </w:r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Рае </w:t>
      </w:r>
      <w:proofErr w:type="spellStart"/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Квон</w:t>
      </w:r>
      <w:proofErr w:type="spellEnd"/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Чунга</w:t>
      </w:r>
      <w:proofErr w:type="spellEnd"/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 роли России в </w:t>
      </w:r>
      <w:proofErr w:type="spellStart"/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энергообъединении</w:t>
      </w:r>
      <w:proofErr w:type="spellEnd"/>
      <w:r w:rsidR="00003BC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региона 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согласен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="00666C4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6C4C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666C4C" w:rsidRPr="00704F69">
        <w:rPr>
          <w:rStyle w:val="af3"/>
          <w:rFonts w:ascii="Times New Roman" w:hAnsi="Times New Roman" w:cs="Times New Roman"/>
          <w:sz w:val="24"/>
          <w:szCs w:val="24"/>
        </w:rPr>
        <w:t>Бударгин</w:t>
      </w:r>
      <w:proofErr w:type="spellEnd"/>
      <w:r w:rsidR="00105D0C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(Россия)</w:t>
      </w:r>
      <w:r w:rsidR="00666C4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 член Наблюдательного совета ассоциации «Глобальная энергия», вице-председатель Мирового энергетического совета.</w:t>
      </w:r>
      <w:r w:rsidR="004067F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Эксперт убежден, что преимущество на стороне России не 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только из-за 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избытка электроэнергии, но и 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наличия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соответствующей технологической базы и накопленного опыта интеграционных процессов.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>Помимо этого</w:t>
      </w:r>
      <w:r w:rsidR="00E6300F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Россия </w:t>
      </w:r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обладает самой конкурентоспособной ценой на электроэнергию 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среди стран Северо-Восточной Азии – 0,07 $/ </w:t>
      </w:r>
      <w:proofErr w:type="spellStart"/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кВт·ч</w:t>
      </w:r>
      <w:proofErr w:type="spellEnd"/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 в то время как у Китая -  0,11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$/ </w:t>
      </w:r>
      <w:proofErr w:type="spellStart"/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кВт·ч</w:t>
      </w:r>
      <w:proofErr w:type="spellEnd"/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 у</w:t>
      </w:r>
      <w:r w:rsidR="00E6300F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Японии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 0,28 $/ </w:t>
      </w:r>
      <w:proofErr w:type="spellStart"/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кВт·ч</w:t>
      </w:r>
      <w:proofErr w:type="spellEnd"/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6300F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у Южной Кореи</w:t>
      </w:r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- 0,08 $/ </w:t>
      </w:r>
      <w:proofErr w:type="spellStart"/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кВт·ч</w:t>
      </w:r>
      <w:proofErr w:type="spellEnd"/>
      <w:r w:rsidR="00DF026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:rsidR="0024641D" w:rsidRPr="00704F69" w:rsidRDefault="00172282" w:rsidP="00704F69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 xml:space="preserve">Олег </w:t>
      </w:r>
      <w:proofErr w:type="spellStart"/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Бударгин</w:t>
      </w:r>
      <w:proofErr w:type="spellEnd"/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также добавил, </w:t>
      </w:r>
      <w:r w:rsidR="000F2BA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что для России такие интеграционные процессы очень своевременны, т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ак как соответствуют </w:t>
      </w:r>
      <w:r w:rsidR="00EF3163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важной задаче - 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переходу к новому технологическому</w:t>
      </w:r>
      <w:r w:rsidR="000F2BA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цикл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у, </w:t>
      </w:r>
      <w:r w:rsidR="00527074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который призван </w:t>
      </w:r>
      <w:r w:rsidR="00ED0A4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обеспечить </w:t>
      </w:r>
      <w:r w:rsidR="0071426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высокое качество</w:t>
      </w:r>
      <w:r w:rsidR="0024641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жизни</w:t>
      </w:r>
      <w:r w:rsidR="0006611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 обязательной составляющей в виде доступной энергии.  </w:t>
      </w:r>
    </w:p>
    <w:p w:rsidR="003E5FBE" w:rsidRPr="003E5FBE" w:rsidRDefault="00066111" w:rsidP="003E5FBE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Расширяя идею и важность создания единого рынка торговли </w:t>
      </w:r>
      <w:r w:rsidR="00704F6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энергоносителями </w:t>
      </w:r>
      <w:proofErr w:type="spellStart"/>
      <w:r w:rsidR="00704F69" w:rsidRPr="00704F69">
        <w:rPr>
          <w:rStyle w:val="af3"/>
          <w:rFonts w:ascii="Times New Roman" w:hAnsi="Times New Roman" w:cs="Times New Roman"/>
          <w:sz w:val="24"/>
          <w:szCs w:val="24"/>
        </w:rPr>
        <w:t>Лю</w:t>
      </w:r>
      <w:proofErr w:type="spellEnd"/>
      <w:r w:rsidR="00420E1E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1E" w:rsidRPr="00704F69">
        <w:rPr>
          <w:rStyle w:val="af3"/>
          <w:rFonts w:ascii="Times New Roman" w:hAnsi="Times New Roman" w:cs="Times New Roman"/>
          <w:sz w:val="24"/>
          <w:szCs w:val="24"/>
        </w:rPr>
        <w:t>Хунпэн</w:t>
      </w:r>
      <w:proofErr w:type="spellEnd"/>
      <w:r w:rsidR="00277553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7553" w:rsidRPr="00704F69">
        <w:rPr>
          <w:rStyle w:val="af3"/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277553" w:rsidRPr="00704F69">
        <w:rPr>
          <w:rStyle w:val="af3"/>
          <w:rFonts w:ascii="Times New Roman" w:hAnsi="Times New Roman" w:cs="Times New Roman"/>
          <w:sz w:val="24"/>
          <w:szCs w:val="24"/>
        </w:rPr>
        <w:t>)</w:t>
      </w:r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 директор отдела энергетики Экономической и социальной комиссии для Азии и Тихого океана Организа</w:t>
      </w:r>
      <w:r w:rsidR="0024641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ции Объе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диненных Наций (ЭСКАТО), отметил, что т</w:t>
      </w:r>
      <w:r w:rsidR="0024641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акие </w:t>
      </w:r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значимые проекты, как азиатское энергетическое кольцо и крупные газопроводы помогут </w:t>
      </w:r>
      <w:proofErr w:type="spellStart"/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энергорынку</w:t>
      </w:r>
      <w:proofErr w:type="spellEnd"/>
      <w:r w:rsidR="005B22F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эффективно</w:t>
      </w:r>
      <w:r w:rsidR="00EF3163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функционировать. </w:t>
      </w:r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ЭСКАТО ООН </w:t>
      </w:r>
      <w:r w:rsidR="00ED0A4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готова </w:t>
      </w:r>
      <w:r w:rsidR="0071426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способствовать ведению </w:t>
      </w:r>
      <w:r w:rsidR="00ED0A4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политического диалога между странами и </w:t>
      </w:r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обеспечит</w:t>
      </w:r>
      <w:r w:rsidR="00EF3163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ь</w:t>
      </w:r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техническую жизнеспособность подобных </w:t>
      </w:r>
      <w:r w:rsidR="00ED0A41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проектов</w:t>
      </w:r>
      <w:r w:rsidR="00420E1E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E5F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Дополнительные предложения по реализации «Азиатского </w:t>
      </w:r>
      <w:proofErr w:type="spellStart"/>
      <w:r w:rsidR="003E5FBE">
        <w:rPr>
          <w:rStyle w:val="af3"/>
          <w:rFonts w:ascii="Times New Roman" w:hAnsi="Times New Roman" w:cs="Times New Roman"/>
          <w:b w:val="0"/>
          <w:sz w:val="24"/>
          <w:szCs w:val="24"/>
        </w:rPr>
        <w:t>суперкольца</w:t>
      </w:r>
      <w:proofErr w:type="spellEnd"/>
      <w:r w:rsidR="003E5F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 внес </w:t>
      </w:r>
      <w:proofErr w:type="spellStart"/>
      <w:r w:rsidR="003E5FBE" w:rsidRPr="003E5FBE">
        <w:rPr>
          <w:rStyle w:val="af3"/>
          <w:rFonts w:ascii="Times New Roman" w:hAnsi="Times New Roman" w:cs="Times New Roman"/>
          <w:sz w:val="24"/>
          <w:szCs w:val="24"/>
        </w:rPr>
        <w:t>Ванг</w:t>
      </w:r>
      <w:proofErr w:type="spellEnd"/>
      <w:r w:rsidR="003E5FBE" w:rsidRPr="003E5FBE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BE" w:rsidRPr="003E5FBE">
        <w:rPr>
          <w:rStyle w:val="af3"/>
          <w:rFonts w:ascii="Times New Roman" w:hAnsi="Times New Roman" w:cs="Times New Roman"/>
          <w:sz w:val="24"/>
          <w:szCs w:val="24"/>
        </w:rPr>
        <w:t>Джун</w:t>
      </w:r>
      <w:proofErr w:type="spellEnd"/>
      <w:r w:rsidR="003E5FBE" w:rsidRPr="003E5FBE">
        <w:rPr>
          <w:rStyle w:val="af3"/>
          <w:rFonts w:ascii="Times New Roman" w:hAnsi="Times New Roman" w:cs="Times New Roman"/>
          <w:sz w:val="24"/>
          <w:szCs w:val="24"/>
        </w:rPr>
        <w:t xml:space="preserve"> (Китай)</w:t>
      </w:r>
      <w:r w:rsidR="003E5F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E5FBE" w:rsidRPr="003E5FBE">
        <w:rPr>
          <w:rStyle w:val="af3"/>
          <w:rFonts w:ascii="Times New Roman" w:hAnsi="Times New Roman" w:cs="Times New Roman"/>
          <w:b w:val="0"/>
          <w:sz w:val="24"/>
          <w:szCs w:val="24"/>
        </w:rPr>
        <w:t>главный инженер Китайского института планирования и проектирования электроэнергии</w:t>
      </w:r>
      <w:r w:rsidR="003E5F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D4C7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свою очередь, </w:t>
      </w:r>
      <w:proofErr w:type="spellStart"/>
      <w:r w:rsidR="00ED4C74" w:rsidRPr="00ED4C74">
        <w:rPr>
          <w:rStyle w:val="af3"/>
          <w:rFonts w:ascii="Times New Roman" w:hAnsi="Times New Roman" w:cs="Times New Roman"/>
          <w:sz w:val="24"/>
          <w:szCs w:val="24"/>
        </w:rPr>
        <w:t>Батмунк</w:t>
      </w:r>
      <w:proofErr w:type="spellEnd"/>
      <w:r w:rsidR="00ED4C74" w:rsidRPr="00ED4C74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74" w:rsidRPr="00ED4C74">
        <w:rPr>
          <w:rStyle w:val="af3"/>
          <w:rFonts w:ascii="Times New Roman" w:hAnsi="Times New Roman" w:cs="Times New Roman"/>
          <w:sz w:val="24"/>
          <w:szCs w:val="24"/>
        </w:rPr>
        <w:t>Йерен-Улзи</w:t>
      </w:r>
      <w:proofErr w:type="spellEnd"/>
      <w:r w:rsidR="00ED4C74" w:rsidRPr="00ED4C74">
        <w:rPr>
          <w:rStyle w:val="af3"/>
          <w:rFonts w:ascii="Times New Roman" w:hAnsi="Times New Roman" w:cs="Times New Roman"/>
          <w:sz w:val="24"/>
          <w:szCs w:val="24"/>
        </w:rPr>
        <w:t xml:space="preserve"> (Монголия)</w:t>
      </w:r>
      <w:r w:rsidR="00ED4C74">
        <w:rPr>
          <w:rStyle w:val="af3"/>
          <w:rFonts w:ascii="Times New Roman" w:hAnsi="Times New Roman" w:cs="Times New Roman"/>
          <w:b w:val="0"/>
          <w:sz w:val="24"/>
          <w:szCs w:val="24"/>
        </w:rPr>
        <w:t>, н</w:t>
      </w:r>
      <w:r w:rsidR="00ED4C74" w:rsidRPr="003E5FBE">
        <w:rPr>
          <w:rStyle w:val="af3"/>
          <w:rFonts w:ascii="Times New Roman" w:hAnsi="Times New Roman" w:cs="Times New Roman"/>
          <w:b w:val="0"/>
          <w:sz w:val="24"/>
          <w:szCs w:val="24"/>
        </w:rPr>
        <w:t>ачальник отдела инвестиций и производства Министерства энергетики</w:t>
      </w:r>
      <w:r w:rsidR="00ED4C7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Монголии, </w:t>
      </w:r>
      <w:r w:rsidR="00ED4C74" w:rsidRPr="00ED4C7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отметил </w:t>
      </w:r>
      <w:r w:rsidR="00ED4C7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потенциал страны в сфере генерации энергии из возобновляемых источников и возможную схему торговли энергией между странами. </w:t>
      </w:r>
    </w:p>
    <w:p w:rsidR="00B12C22" w:rsidRPr="00704F69" w:rsidRDefault="00420E1E" w:rsidP="00704F69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704F69">
        <w:rPr>
          <w:rStyle w:val="af3"/>
          <w:rFonts w:ascii="Times New Roman" w:hAnsi="Times New Roman" w:cs="Times New Roman"/>
          <w:sz w:val="24"/>
          <w:szCs w:val="24"/>
        </w:rPr>
        <w:t>Бу</w:t>
      </w:r>
      <w:proofErr w:type="spellEnd"/>
      <w:r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Янг</w:t>
      </w:r>
      <w:r w:rsidR="00277553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(Южная Корея)</w:t>
      </w:r>
      <w:r w:rsidRPr="00704F69">
        <w:rPr>
          <w:rStyle w:val="af3"/>
          <w:rFonts w:ascii="Times New Roman" w:hAnsi="Times New Roman" w:cs="Times New Roman"/>
          <w:sz w:val="24"/>
          <w:szCs w:val="24"/>
        </w:rPr>
        <w:t>,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почетный президент PEACE ASIA </w:t>
      </w:r>
      <w:proofErr w:type="spellStart"/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Corporation</w:t>
      </w:r>
      <w:proofErr w:type="spellEnd"/>
      <w:r w:rsidR="00D3493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подчеркнул, что «достижение политического консенсуса и налаживание мирных процессов – обязательные условия построения регионального рынка энергоносителей». </w:t>
      </w:r>
      <w:r w:rsidR="00DF701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О новых</w:t>
      </w:r>
      <w:r w:rsidR="00744EF3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возможностях для энергетического сотрудничества в Северо-Восточной Азии благодаря началу мирных процессов на Корейском полуострове рассказал </w:t>
      </w:r>
      <w:r w:rsidR="00744EF3" w:rsidRPr="00704F69">
        <w:rPr>
          <w:rStyle w:val="af3"/>
          <w:rFonts w:ascii="Times New Roman" w:hAnsi="Times New Roman" w:cs="Times New Roman"/>
          <w:sz w:val="24"/>
          <w:szCs w:val="24"/>
        </w:rPr>
        <w:t>Парк Чан Мо (Северная Корея),</w:t>
      </w:r>
      <w:r w:rsidR="00744EF3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почетный ректор университета науки и технологий Пхеньяна. </w:t>
      </w:r>
    </w:p>
    <w:p w:rsidR="008C648D" w:rsidRDefault="00D3493D" w:rsidP="00704F69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целом, все эксперты </w:t>
      </w:r>
      <w:r w:rsidR="00704F6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сошлись во мнении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что необходимо создать постоянно действующую </w:t>
      </w:r>
      <w:r w:rsidR="002E74C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многостороннюю 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платформу </w:t>
      </w:r>
      <w:r w:rsidR="002E74C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для диалога. Такой площадкой станет </w:t>
      </w:r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региональный энергетический </w:t>
      </w:r>
      <w:r w:rsidR="002A0A65">
        <w:rPr>
          <w:rStyle w:val="af3"/>
          <w:rFonts w:ascii="Times New Roman" w:hAnsi="Times New Roman" w:cs="Times New Roman"/>
          <w:b w:val="0"/>
          <w:sz w:val="24"/>
          <w:szCs w:val="24"/>
        </w:rPr>
        <w:t>форум</w:t>
      </w:r>
      <w:r w:rsidR="00F97C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97C28">
        <w:rPr>
          <w:rStyle w:val="af3"/>
          <w:rFonts w:ascii="Times New Roman" w:hAnsi="Times New Roman" w:cs="Times New Roman"/>
          <w:b w:val="0"/>
          <w:sz w:val="24"/>
          <w:szCs w:val="24"/>
          <w:lang w:val="en-US"/>
        </w:rPr>
        <w:t>Regional</w:t>
      </w:r>
      <w:r w:rsidR="00F97C28" w:rsidRPr="00F97C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C28">
        <w:rPr>
          <w:rStyle w:val="af3"/>
          <w:rFonts w:ascii="Times New Roman" w:hAnsi="Times New Roman" w:cs="Times New Roman"/>
          <w:b w:val="0"/>
          <w:sz w:val="24"/>
          <w:szCs w:val="24"/>
          <w:lang w:val="en-US"/>
        </w:rPr>
        <w:t>Dialogue</w:t>
      </w:r>
      <w:r w:rsidR="00F97C28" w:rsidRPr="00F97C28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C28">
        <w:rPr>
          <w:rStyle w:val="af3"/>
          <w:rFonts w:ascii="Times New Roman" w:hAnsi="Times New Roman" w:cs="Times New Roman"/>
          <w:b w:val="0"/>
          <w:sz w:val="24"/>
          <w:szCs w:val="24"/>
          <w:lang w:val="en-US"/>
        </w:rPr>
        <w:t>Forum</w:t>
      </w:r>
      <w:r w:rsidR="00F97C28">
        <w:rPr>
          <w:rStyle w:val="af3"/>
          <w:rFonts w:ascii="Times New Roman" w:hAnsi="Times New Roman" w:cs="Times New Roman"/>
          <w:b w:val="0"/>
          <w:sz w:val="24"/>
          <w:szCs w:val="24"/>
        </w:rPr>
        <w:t>)</w:t>
      </w:r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Северо-Восточной Азии, который сможет поддержать создание инфраструктурный проектов (таких как «Азиатское </w:t>
      </w:r>
      <w:proofErr w:type="spellStart"/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>суперкольцо</w:t>
      </w:r>
      <w:proofErr w:type="spellEnd"/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>» и трубопроводы природного газа). В</w:t>
      </w:r>
      <w:r w:rsidR="002E74C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едущая роль </w:t>
      </w:r>
      <w:r w:rsidR="00647877">
        <w:rPr>
          <w:rStyle w:val="af3"/>
          <w:rFonts w:ascii="Times New Roman" w:hAnsi="Times New Roman" w:cs="Times New Roman"/>
          <w:b w:val="0"/>
          <w:sz w:val="24"/>
          <w:szCs w:val="24"/>
        </w:rPr>
        <w:t>в этом диалоге будет</w:t>
      </w:r>
      <w:r w:rsidR="002E74C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отведена ученым, поскольку именно они</w:t>
      </w:r>
      <w:r w:rsidR="005B22F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 являясь</w:t>
      </w:r>
      <w:r w:rsidR="002E74C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</w:t>
      </w:r>
      <w:r w:rsidR="005B22F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азработчиками передовых решений,</w:t>
      </w:r>
      <w:r w:rsidR="002E74C9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могут предложить новые технологические подходы и экономические модели, которые выведут интеграционные процессы на новый уровень. </w:t>
      </w:r>
      <w:r w:rsidR="00435C85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Рае </w:t>
      </w:r>
      <w:proofErr w:type="spellStart"/>
      <w:r w:rsidR="00435C85" w:rsidRPr="00704F69"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="00435C85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C85" w:rsidRPr="00704F69">
        <w:rPr>
          <w:rStyle w:val="af3"/>
          <w:rFonts w:ascii="Times New Roman" w:hAnsi="Times New Roman" w:cs="Times New Roman"/>
          <w:sz w:val="24"/>
          <w:szCs w:val="24"/>
        </w:rPr>
        <w:t>Чунг</w:t>
      </w:r>
      <w:proofErr w:type="spellEnd"/>
      <w:r w:rsidR="00744EF3" w:rsidRPr="00704F6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435C85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отметил, что лучшие деятели науки объединятся для решения региональных энергетических задач. И в этом диалоге </w:t>
      </w:r>
      <w:r w:rsidR="002A0A6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международная энергетическая премия </w:t>
      </w:r>
      <w:r w:rsidR="00435C85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«Глобальная энергия» может быть особенно ценной, так как </w:t>
      </w:r>
      <w:r w:rsidR="008C648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ежегодно она награждает ведущих мировых ученых, которые сделали важный вклад в развитие</w:t>
      </w:r>
      <w:r w:rsidR="005B22F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мировой энергетической отрасли. К</w:t>
      </w:r>
      <w:r w:rsidR="008C648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роме того</w:t>
      </w:r>
      <w:r w:rsidR="005B22F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8C648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 «Глобальной энергии» накоплен бесценный опыт организации международных дискуссионных площадок и проведения мероприятий на </w:t>
      </w:r>
      <w:r w:rsidR="005B22FC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мировом</w:t>
      </w:r>
      <w:r w:rsidR="008C648D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уровне. </w:t>
      </w:r>
    </w:p>
    <w:p w:rsidR="00F97C28" w:rsidRDefault="00523A80" w:rsidP="00F97C28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04F69">
        <w:rPr>
          <w:rStyle w:val="af3"/>
          <w:rFonts w:ascii="Times New Roman" w:hAnsi="Times New Roman" w:cs="Times New Roman"/>
          <w:sz w:val="24"/>
          <w:szCs w:val="24"/>
        </w:rPr>
        <w:t>Восточный экономический форум</w:t>
      </w:r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 это уникальная международная коммуникационная площадка для взаимодействия представителей бизнеса, политических кругов, экспертного и </w:t>
      </w:r>
      <w:proofErr w:type="spellStart"/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>медийного</w:t>
      </w:r>
      <w:proofErr w:type="spellEnd"/>
      <w:r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сообществ России и стран Азиатско-Тихоокеанского региона.</w:t>
      </w:r>
      <w:r w:rsidR="00B527B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Ключевая тема</w:t>
      </w:r>
      <w:r w:rsid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7B2" w:rsidRPr="00704F6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ВЭФ-2018 – «Дальний Восток: расширяя границы возможностей». </w:t>
      </w:r>
    </w:p>
    <w:p w:rsidR="005D08D3" w:rsidRPr="00F97C28" w:rsidRDefault="005D08D3" w:rsidP="00F97C28">
      <w:pPr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lastRenderedPageBreak/>
        <w:t xml:space="preserve">Дополнительная информация: </w:t>
      </w:r>
    </w:p>
    <w:p w:rsidR="005D08D3" w:rsidRPr="002B2942" w:rsidRDefault="00B82784" w:rsidP="002B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Наумова,</w:t>
      </w:r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naumova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proofErr w:type="gramStart"/>
      </w:hyperlink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+7 495 739 54 35  </w:t>
      </w:r>
    </w:p>
    <w:p w:rsidR="00340F36" w:rsidRDefault="00340F36" w:rsidP="00B70A4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46" w:rsidRPr="00B70A46" w:rsidRDefault="00BC275B" w:rsidP="00B70A4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:rsidR="00E610B2" w:rsidRDefault="00F97C28" w:rsidP="00E610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971AEF" w:rsidRPr="006C5164">
          <w:rPr>
            <w:rStyle w:val="ab"/>
            <w:rFonts w:ascii="Times New Roman" w:hAnsi="Times New Roman"/>
            <w:sz w:val="20"/>
            <w:szCs w:val="20"/>
          </w:rPr>
          <w:t>Ассоциация</w:t>
        </w:r>
        <w:r w:rsidR="00D8447A" w:rsidRPr="006C5164">
          <w:rPr>
            <w:rStyle w:val="ab"/>
            <w:rFonts w:ascii="Times New Roman" w:hAnsi="Times New Roman"/>
            <w:sz w:val="20"/>
            <w:szCs w:val="20"/>
          </w:rPr>
          <w:t xml:space="preserve"> «Глобальная энергия»</w:t>
        </w:r>
      </w:hyperlink>
      <w:r w:rsidR="00D8447A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</w:t>
      </w:r>
      <w:r w:rsidR="00971AEF" w:rsidRPr="00D8447A">
        <w:rPr>
          <w:rFonts w:ascii="Times New Roman" w:hAnsi="Times New Roman"/>
          <w:sz w:val="20"/>
          <w:szCs w:val="20"/>
        </w:rPr>
        <w:t xml:space="preserve"> в области энергетики</w:t>
      </w:r>
      <w:r w:rsidR="00E610B2">
        <w:rPr>
          <w:rFonts w:ascii="Times New Roman" w:hAnsi="Times New Roman"/>
          <w:sz w:val="20"/>
          <w:szCs w:val="20"/>
        </w:rPr>
        <w:t xml:space="preserve"> </w:t>
      </w:r>
      <w:r w:rsidR="00971AEF" w:rsidRPr="00971AEF">
        <w:rPr>
          <w:rFonts w:ascii="Times New Roman" w:hAnsi="Times New Roman"/>
          <w:sz w:val="20"/>
          <w:szCs w:val="20"/>
        </w:rPr>
        <w:t>при поддержке ПАО «Газпром», ПАО «Сургутнефтегаз» и ПАО «ФСК ЕЭС».</w:t>
      </w:r>
      <w:r w:rsidR="00971AEF">
        <w:rPr>
          <w:rFonts w:ascii="Times New Roman" w:hAnsi="Times New Roman"/>
          <w:sz w:val="20"/>
          <w:szCs w:val="20"/>
        </w:rPr>
        <w:t xml:space="preserve"> </w:t>
      </w:r>
      <w:r w:rsidR="001C60D2">
        <w:rPr>
          <w:rFonts w:ascii="Times New Roman" w:hAnsi="Times New Roman"/>
          <w:sz w:val="20"/>
          <w:szCs w:val="20"/>
        </w:rPr>
        <w:t>А</w:t>
      </w:r>
      <w:r w:rsidR="00971AEF" w:rsidRPr="00971AEF">
        <w:rPr>
          <w:rFonts w:ascii="Times New Roman" w:hAnsi="Times New Roman"/>
          <w:sz w:val="20"/>
          <w:szCs w:val="20"/>
        </w:rPr>
        <w:t>ссоциация</w:t>
      </w:r>
      <w:r w:rsidR="00D8447A">
        <w:rPr>
          <w:rFonts w:ascii="Times New Roman" w:hAnsi="Times New Roman"/>
          <w:sz w:val="20"/>
          <w:szCs w:val="20"/>
        </w:rPr>
        <w:t xml:space="preserve"> </w:t>
      </w:r>
      <w:r w:rsidR="006C5164">
        <w:rPr>
          <w:rFonts w:ascii="Times New Roman" w:hAnsi="Times New Roman"/>
          <w:sz w:val="20"/>
          <w:szCs w:val="20"/>
        </w:rPr>
        <w:t xml:space="preserve">управляет </w:t>
      </w:r>
      <w:r w:rsidR="00E610B2">
        <w:rPr>
          <w:rFonts w:ascii="Times New Roman" w:hAnsi="Times New Roman"/>
          <w:sz w:val="20"/>
          <w:szCs w:val="20"/>
        </w:rPr>
        <w:t>М</w:t>
      </w:r>
      <w:r w:rsidR="00971AEF" w:rsidRPr="00971AEF">
        <w:rPr>
          <w:rFonts w:ascii="Times New Roman" w:hAnsi="Times New Roman"/>
          <w:sz w:val="20"/>
          <w:szCs w:val="20"/>
        </w:rPr>
        <w:t>еждународной энергетической премией</w:t>
      </w:r>
      <w:r w:rsidR="00E610B2">
        <w:rPr>
          <w:rFonts w:ascii="Times New Roman" w:hAnsi="Times New Roman"/>
          <w:sz w:val="20"/>
          <w:szCs w:val="20"/>
        </w:rPr>
        <w:t xml:space="preserve"> «Глобальная энергия»</w:t>
      </w:r>
      <w:r w:rsidR="00971AEF" w:rsidRPr="00971AEF">
        <w:rPr>
          <w:rFonts w:ascii="Times New Roman" w:hAnsi="Times New Roman"/>
          <w:sz w:val="20"/>
          <w:szCs w:val="20"/>
        </w:rPr>
        <w:t xml:space="preserve">, </w:t>
      </w:r>
      <w:r w:rsidR="001C60D2">
        <w:rPr>
          <w:rFonts w:ascii="Times New Roman" w:hAnsi="Times New Roman"/>
          <w:sz w:val="20"/>
          <w:szCs w:val="20"/>
        </w:rPr>
        <w:t xml:space="preserve">выступает организатором одноименного саммита, </w:t>
      </w:r>
      <w:r w:rsidR="00971AEF" w:rsidRPr="00971AEF">
        <w:rPr>
          <w:rFonts w:ascii="Times New Roman" w:hAnsi="Times New Roman"/>
          <w:sz w:val="20"/>
          <w:szCs w:val="20"/>
        </w:rPr>
        <w:t xml:space="preserve">а также реализует ряд </w:t>
      </w:r>
      <w:r w:rsidR="00E610B2">
        <w:rPr>
          <w:rFonts w:ascii="Times New Roman" w:hAnsi="Times New Roman"/>
          <w:sz w:val="20"/>
          <w:szCs w:val="20"/>
        </w:rPr>
        <w:t xml:space="preserve">программ </w:t>
      </w:r>
      <w:proofErr w:type="gramStart"/>
      <w:r w:rsidR="00E610B2">
        <w:rPr>
          <w:rFonts w:ascii="Times New Roman" w:hAnsi="Times New Roman"/>
          <w:sz w:val="20"/>
          <w:szCs w:val="20"/>
        </w:rPr>
        <w:t>для молодых ученых России</w:t>
      </w:r>
      <w:proofErr w:type="gramEnd"/>
      <w:r w:rsidR="00E610B2">
        <w:rPr>
          <w:rFonts w:ascii="Times New Roman" w:hAnsi="Times New Roman"/>
          <w:sz w:val="20"/>
          <w:szCs w:val="20"/>
        </w:rPr>
        <w:t xml:space="preserve">. </w:t>
      </w:r>
    </w:p>
    <w:p w:rsidR="00397AB1" w:rsidRPr="00B70A46" w:rsidRDefault="00E610B2" w:rsidP="001C60D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Премия «Глобальная энергия» - </w:t>
      </w:r>
      <w:r w:rsidR="00B70A46" w:rsidRPr="00B70A46">
        <w:rPr>
          <w:rFonts w:ascii="Times New Roman" w:hAnsi="Times New Roman"/>
          <w:sz w:val="20"/>
          <w:szCs w:val="20"/>
        </w:rPr>
        <w:t>международная награда за выдающиеся исследования и научно-технические разработки в области энергетики</w:t>
      </w:r>
      <w:r>
        <w:rPr>
          <w:rFonts w:ascii="Times New Roman" w:hAnsi="Times New Roman"/>
          <w:sz w:val="20"/>
          <w:szCs w:val="20"/>
        </w:rPr>
        <w:t xml:space="preserve">. </w:t>
      </w:r>
      <w:r w:rsidR="00B70A46" w:rsidRPr="00B70A46">
        <w:rPr>
          <w:rFonts w:ascii="Times New Roman" w:hAnsi="Times New Roman"/>
          <w:sz w:val="20"/>
          <w:szCs w:val="20"/>
          <w:lang w:eastAsia="ru-RU"/>
        </w:rPr>
        <w:t xml:space="preserve">С 2003 года </w:t>
      </w:r>
      <w:r>
        <w:rPr>
          <w:rFonts w:ascii="Times New Roman" w:hAnsi="Times New Roman"/>
          <w:sz w:val="20"/>
          <w:szCs w:val="20"/>
          <w:lang w:eastAsia="ru-RU"/>
        </w:rPr>
        <w:t xml:space="preserve">ее </w:t>
      </w:r>
      <w:r w:rsidR="00B70A46" w:rsidRPr="00B70A46">
        <w:rPr>
          <w:rFonts w:ascii="Times New Roman" w:hAnsi="Times New Roman"/>
          <w:sz w:val="20"/>
          <w:szCs w:val="20"/>
          <w:lang w:eastAsia="ru-RU"/>
        </w:rPr>
        <w:t xml:space="preserve">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="00375876" w:rsidRPr="00375876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1" w:history="1">
        <w:r w:rsidR="00375876" w:rsidRPr="00375876">
          <w:rPr>
            <w:rStyle w:val="ab"/>
            <w:rFonts w:ascii="Times New Roman" w:hAnsi="Times New Roman"/>
            <w:sz w:val="20"/>
            <w:szCs w:val="20"/>
          </w:rPr>
          <w:t>IREG</w:t>
        </w:r>
      </w:hyperlink>
      <w:r>
        <w:rPr>
          <w:rFonts w:ascii="Times New Roman" w:hAnsi="Times New Roman"/>
          <w:sz w:val="20"/>
          <w:szCs w:val="20"/>
        </w:rPr>
        <w:t>; в</w:t>
      </w:r>
      <w:r w:rsidR="00375876" w:rsidRPr="00375876">
        <w:rPr>
          <w:rFonts w:ascii="Times New Roman" w:hAnsi="Times New Roman"/>
          <w:sz w:val="20"/>
          <w:szCs w:val="20"/>
        </w:rPr>
        <w:t xml:space="preserve"> рейтинге престижности Международного конгресса выдающихся наград (</w:t>
      </w:r>
      <w:hyperlink r:id="rId12" w:history="1">
        <w:r w:rsidR="00375876" w:rsidRPr="00375876">
          <w:rPr>
            <w:rStyle w:val="ab"/>
            <w:rFonts w:ascii="Times New Roman" w:hAnsi="Times New Roman"/>
            <w:sz w:val="20"/>
            <w:szCs w:val="20"/>
          </w:rPr>
          <w:t>ICDA</w:t>
        </w:r>
      </w:hyperlink>
      <w:r w:rsidR="00375876" w:rsidRPr="00375876">
        <w:rPr>
          <w:rFonts w:ascii="Times New Roman" w:hAnsi="Times New Roman"/>
          <w:sz w:val="20"/>
          <w:szCs w:val="20"/>
        </w:rPr>
        <w:t>) «Глобальная энергия» находится в категории «</w:t>
      </w:r>
      <w:r>
        <w:rPr>
          <w:rFonts w:ascii="Times New Roman" w:hAnsi="Times New Roman"/>
          <w:sz w:val="20"/>
          <w:szCs w:val="20"/>
        </w:rPr>
        <w:t>мега-премии»</w:t>
      </w:r>
      <w:r w:rsidR="00375876" w:rsidRPr="00375876">
        <w:rPr>
          <w:rFonts w:ascii="Times New Roman" w:hAnsi="Times New Roman"/>
          <w:sz w:val="20"/>
          <w:szCs w:val="20"/>
        </w:rPr>
        <w:t xml:space="preserve"> за благородные цели, образцовую практику и общий призовой фонд.</w:t>
      </w:r>
      <w:bookmarkEnd w:id="0"/>
    </w:p>
    <w:sectPr w:rsidR="00397AB1" w:rsidRPr="00B70A46" w:rsidSect="004D5E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BD" w:rsidRDefault="000063BD" w:rsidP="00F71155">
      <w:pPr>
        <w:spacing w:after="0" w:line="240" w:lineRule="auto"/>
      </w:pPr>
      <w:r>
        <w:separator/>
      </w:r>
    </w:p>
  </w:endnote>
  <w:endnote w:type="continuationSeparator" w:id="0">
    <w:p w:rsidR="000063BD" w:rsidRDefault="000063BD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:rsidTr="00F63B03">
          <w:trPr>
            <w:trHeight w:val="283"/>
          </w:trPr>
          <w:tc>
            <w:tcPr>
              <w:tcW w:w="9354" w:type="dxa"/>
              <w:vAlign w:val="center"/>
            </w:tcPr>
            <w:p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F97C28">
                <w:rPr>
                  <w:rFonts w:ascii="Arial" w:hAnsi="Arial" w:cs="Arial"/>
                  <w:b/>
                  <w:noProof/>
                </w:rPr>
                <w:t>3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7670E0" w:rsidRDefault="00F97C28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BD" w:rsidRDefault="000063BD" w:rsidP="00F71155">
      <w:pPr>
        <w:spacing w:after="0" w:line="240" w:lineRule="auto"/>
      </w:pPr>
      <w:r>
        <w:separator/>
      </w:r>
    </w:p>
  </w:footnote>
  <w:footnote w:type="continuationSeparator" w:id="0">
    <w:p w:rsidR="000063BD" w:rsidRDefault="000063BD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1542553" cy="631045"/>
                <wp:effectExtent l="0" t="0" r="635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620" cy="642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Pr="006C43DB" w:rsidRDefault="006C43DB" w:rsidP="006C43DB">
          <w:pPr>
            <w:jc w:val="center"/>
            <w:rPr>
              <w:rFonts w:ascii="Arial" w:hAnsi="Arial" w:cs="Arial"/>
              <w:b/>
              <w:color w:val="77787B"/>
              <w:sz w:val="40"/>
              <w:szCs w:val="40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 xml:space="preserve">       </w:t>
          </w:r>
          <w:r w:rsidR="007670E0" w:rsidRPr="006C43DB">
            <w:rPr>
              <w:rFonts w:ascii="Arial" w:hAnsi="Arial" w:cs="Arial"/>
              <w:b/>
              <w:color w:val="77787B"/>
              <w:sz w:val="40"/>
              <w:szCs w:val="40"/>
            </w:rPr>
            <w:t>ПРЕСС-РЕЛИЗ</w:t>
          </w:r>
        </w:p>
      </w:tc>
    </w:tr>
  </w:tbl>
  <w:p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294"/>
    <w:multiLevelType w:val="hybridMultilevel"/>
    <w:tmpl w:val="D5221F62"/>
    <w:lvl w:ilvl="0" w:tplc="FB8A68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3BCD"/>
    <w:rsid w:val="000063BD"/>
    <w:rsid w:val="00010B5A"/>
    <w:rsid w:val="00011C71"/>
    <w:rsid w:val="00017ABC"/>
    <w:rsid w:val="000249AF"/>
    <w:rsid w:val="0002506F"/>
    <w:rsid w:val="00025CF1"/>
    <w:rsid w:val="000337FD"/>
    <w:rsid w:val="00035168"/>
    <w:rsid w:val="0003724F"/>
    <w:rsid w:val="00066111"/>
    <w:rsid w:val="00066356"/>
    <w:rsid w:val="00066E26"/>
    <w:rsid w:val="000675C3"/>
    <w:rsid w:val="000726CB"/>
    <w:rsid w:val="00074A04"/>
    <w:rsid w:val="00080DD3"/>
    <w:rsid w:val="0008202D"/>
    <w:rsid w:val="00097B98"/>
    <w:rsid w:val="000A298B"/>
    <w:rsid w:val="000A3F6C"/>
    <w:rsid w:val="000A66C9"/>
    <w:rsid w:val="000A7B14"/>
    <w:rsid w:val="000B512B"/>
    <w:rsid w:val="000B56E5"/>
    <w:rsid w:val="000C4AB6"/>
    <w:rsid w:val="000C557D"/>
    <w:rsid w:val="000D00D2"/>
    <w:rsid w:val="000D6607"/>
    <w:rsid w:val="000D7FD1"/>
    <w:rsid w:val="000E0B60"/>
    <w:rsid w:val="000E1BD4"/>
    <w:rsid w:val="000F2BAE"/>
    <w:rsid w:val="000F2E47"/>
    <w:rsid w:val="000F7650"/>
    <w:rsid w:val="00105D0C"/>
    <w:rsid w:val="001066E4"/>
    <w:rsid w:val="00113A9A"/>
    <w:rsid w:val="00115372"/>
    <w:rsid w:val="00120242"/>
    <w:rsid w:val="00121BF0"/>
    <w:rsid w:val="0012268F"/>
    <w:rsid w:val="00122BFF"/>
    <w:rsid w:val="001365CC"/>
    <w:rsid w:val="00136972"/>
    <w:rsid w:val="0014092F"/>
    <w:rsid w:val="00143252"/>
    <w:rsid w:val="00144BFE"/>
    <w:rsid w:val="00154EE7"/>
    <w:rsid w:val="00163301"/>
    <w:rsid w:val="00164C2F"/>
    <w:rsid w:val="00170296"/>
    <w:rsid w:val="001715B9"/>
    <w:rsid w:val="00172282"/>
    <w:rsid w:val="0017416B"/>
    <w:rsid w:val="00174335"/>
    <w:rsid w:val="00187C3B"/>
    <w:rsid w:val="001A077D"/>
    <w:rsid w:val="001A24E8"/>
    <w:rsid w:val="001A2840"/>
    <w:rsid w:val="001A565B"/>
    <w:rsid w:val="001A69C9"/>
    <w:rsid w:val="001A7DE3"/>
    <w:rsid w:val="001B1E66"/>
    <w:rsid w:val="001B4124"/>
    <w:rsid w:val="001B6818"/>
    <w:rsid w:val="001B6FC7"/>
    <w:rsid w:val="001C024F"/>
    <w:rsid w:val="001C60D2"/>
    <w:rsid w:val="001D67E5"/>
    <w:rsid w:val="001E205C"/>
    <w:rsid w:val="001E64F9"/>
    <w:rsid w:val="001F1888"/>
    <w:rsid w:val="00202A59"/>
    <w:rsid w:val="00202E9C"/>
    <w:rsid w:val="002040A5"/>
    <w:rsid w:val="00217F74"/>
    <w:rsid w:val="00220E49"/>
    <w:rsid w:val="0022186C"/>
    <w:rsid w:val="002247AD"/>
    <w:rsid w:val="00234BA9"/>
    <w:rsid w:val="0023568A"/>
    <w:rsid w:val="00242095"/>
    <w:rsid w:val="0024641D"/>
    <w:rsid w:val="002551BB"/>
    <w:rsid w:val="00255C3D"/>
    <w:rsid w:val="00257C12"/>
    <w:rsid w:val="00261C4F"/>
    <w:rsid w:val="00264F67"/>
    <w:rsid w:val="00267B6C"/>
    <w:rsid w:val="0027164D"/>
    <w:rsid w:val="00271695"/>
    <w:rsid w:val="00274DC9"/>
    <w:rsid w:val="002765AF"/>
    <w:rsid w:val="00277553"/>
    <w:rsid w:val="0028229E"/>
    <w:rsid w:val="002904C0"/>
    <w:rsid w:val="0029273E"/>
    <w:rsid w:val="002930EC"/>
    <w:rsid w:val="00293F21"/>
    <w:rsid w:val="00295AC4"/>
    <w:rsid w:val="00295CE0"/>
    <w:rsid w:val="00297303"/>
    <w:rsid w:val="002A0A65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E74C9"/>
    <w:rsid w:val="002F08B9"/>
    <w:rsid w:val="002F0D06"/>
    <w:rsid w:val="002F106D"/>
    <w:rsid w:val="002F3725"/>
    <w:rsid w:val="002F7DD8"/>
    <w:rsid w:val="0030295B"/>
    <w:rsid w:val="00303BCC"/>
    <w:rsid w:val="003040E6"/>
    <w:rsid w:val="003078C7"/>
    <w:rsid w:val="003137A8"/>
    <w:rsid w:val="00313C64"/>
    <w:rsid w:val="00314260"/>
    <w:rsid w:val="00315622"/>
    <w:rsid w:val="00317A0E"/>
    <w:rsid w:val="00327F0B"/>
    <w:rsid w:val="00327F52"/>
    <w:rsid w:val="00336A73"/>
    <w:rsid w:val="00340B94"/>
    <w:rsid w:val="00340F36"/>
    <w:rsid w:val="00343B49"/>
    <w:rsid w:val="00346833"/>
    <w:rsid w:val="00346A31"/>
    <w:rsid w:val="00351733"/>
    <w:rsid w:val="00355B94"/>
    <w:rsid w:val="00356E2B"/>
    <w:rsid w:val="003618F6"/>
    <w:rsid w:val="00362587"/>
    <w:rsid w:val="00363C4C"/>
    <w:rsid w:val="00365408"/>
    <w:rsid w:val="003666D5"/>
    <w:rsid w:val="003732EA"/>
    <w:rsid w:val="003748B0"/>
    <w:rsid w:val="00375876"/>
    <w:rsid w:val="0037592E"/>
    <w:rsid w:val="00376F67"/>
    <w:rsid w:val="00382CAD"/>
    <w:rsid w:val="0038448E"/>
    <w:rsid w:val="003954BE"/>
    <w:rsid w:val="0039552E"/>
    <w:rsid w:val="00397AB1"/>
    <w:rsid w:val="003B4722"/>
    <w:rsid w:val="003B5F37"/>
    <w:rsid w:val="003B7BD2"/>
    <w:rsid w:val="003C4C50"/>
    <w:rsid w:val="003D086E"/>
    <w:rsid w:val="003D3CEA"/>
    <w:rsid w:val="003D3E71"/>
    <w:rsid w:val="003E2C54"/>
    <w:rsid w:val="003E505F"/>
    <w:rsid w:val="003E5CC5"/>
    <w:rsid w:val="003E5FBE"/>
    <w:rsid w:val="003F3322"/>
    <w:rsid w:val="003F5887"/>
    <w:rsid w:val="003F78C0"/>
    <w:rsid w:val="004033BA"/>
    <w:rsid w:val="00405223"/>
    <w:rsid w:val="004067FD"/>
    <w:rsid w:val="00411865"/>
    <w:rsid w:val="00411980"/>
    <w:rsid w:val="00415F16"/>
    <w:rsid w:val="004179AD"/>
    <w:rsid w:val="00420829"/>
    <w:rsid w:val="00420E1E"/>
    <w:rsid w:val="004247AB"/>
    <w:rsid w:val="00432056"/>
    <w:rsid w:val="00432B70"/>
    <w:rsid w:val="00435569"/>
    <w:rsid w:val="00435C85"/>
    <w:rsid w:val="00435CF4"/>
    <w:rsid w:val="0044109D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762F4"/>
    <w:rsid w:val="00476450"/>
    <w:rsid w:val="00476ECA"/>
    <w:rsid w:val="00486574"/>
    <w:rsid w:val="004902AF"/>
    <w:rsid w:val="0049338A"/>
    <w:rsid w:val="004A19FD"/>
    <w:rsid w:val="004A49F1"/>
    <w:rsid w:val="004B16F1"/>
    <w:rsid w:val="004B205F"/>
    <w:rsid w:val="004B4122"/>
    <w:rsid w:val="004B6075"/>
    <w:rsid w:val="004C07A5"/>
    <w:rsid w:val="004C0895"/>
    <w:rsid w:val="004C3254"/>
    <w:rsid w:val="004C4AB5"/>
    <w:rsid w:val="004D0725"/>
    <w:rsid w:val="004D22A5"/>
    <w:rsid w:val="004D25F2"/>
    <w:rsid w:val="004D5E47"/>
    <w:rsid w:val="004E0E92"/>
    <w:rsid w:val="004E2FE3"/>
    <w:rsid w:val="004E5C64"/>
    <w:rsid w:val="004F3D00"/>
    <w:rsid w:val="0050379D"/>
    <w:rsid w:val="00511A66"/>
    <w:rsid w:val="00511F32"/>
    <w:rsid w:val="00512022"/>
    <w:rsid w:val="00516B88"/>
    <w:rsid w:val="00522DDF"/>
    <w:rsid w:val="00523A80"/>
    <w:rsid w:val="00525ED5"/>
    <w:rsid w:val="00527074"/>
    <w:rsid w:val="00533229"/>
    <w:rsid w:val="0054168F"/>
    <w:rsid w:val="0054675E"/>
    <w:rsid w:val="00546838"/>
    <w:rsid w:val="005548B7"/>
    <w:rsid w:val="00555758"/>
    <w:rsid w:val="005571A0"/>
    <w:rsid w:val="005644D5"/>
    <w:rsid w:val="00565C2B"/>
    <w:rsid w:val="005675A8"/>
    <w:rsid w:val="0057077F"/>
    <w:rsid w:val="00572394"/>
    <w:rsid w:val="00574FAE"/>
    <w:rsid w:val="00575C15"/>
    <w:rsid w:val="00580385"/>
    <w:rsid w:val="005822D4"/>
    <w:rsid w:val="00585845"/>
    <w:rsid w:val="00594792"/>
    <w:rsid w:val="005A1D06"/>
    <w:rsid w:val="005A2986"/>
    <w:rsid w:val="005A5456"/>
    <w:rsid w:val="005B1DB1"/>
    <w:rsid w:val="005B2018"/>
    <w:rsid w:val="005B22FC"/>
    <w:rsid w:val="005B23AB"/>
    <w:rsid w:val="005B246D"/>
    <w:rsid w:val="005B6679"/>
    <w:rsid w:val="005C5C82"/>
    <w:rsid w:val="005D08D3"/>
    <w:rsid w:val="005D1A0E"/>
    <w:rsid w:val="005D22A6"/>
    <w:rsid w:val="005D371F"/>
    <w:rsid w:val="005E0B34"/>
    <w:rsid w:val="005E0BAF"/>
    <w:rsid w:val="005E6351"/>
    <w:rsid w:val="005E6E34"/>
    <w:rsid w:val="005F3026"/>
    <w:rsid w:val="005F3690"/>
    <w:rsid w:val="0060420F"/>
    <w:rsid w:val="00606940"/>
    <w:rsid w:val="00616827"/>
    <w:rsid w:val="006218F1"/>
    <w:rsid w:val="0063357A"/>
    <w:rsid w:val="00635F09"/>
    <w:rsid w:val="00642856"/>
    <w:rsid w:val="006447CE"/>
    <w:rsid w:val="00644969"/>
    <w:rsid w:val="00645C70"/>
    <w:rsid w:val="00647877"/>
    <w:rsid w:val="00652E7C"/>
    <w:rsid w:val="0065604D"/>
    <w:rsid w:val="00656820"/>
    <w:rsid w:val="006619E9"/>
    <w:rsid w:val="0066377F"/>
    <w:rsid w:val="00663B7F"/>
    <w:rsid w:val="00664E45"/>
    <w:rsid w:val="00666C4C"/>
    <w:rsid w:val="00672177"/>
    <w:rsid w:val="00672FEB"/>
    <w:rsid w:val="00682DC9"/>
    <w:rsid w:val="00683D92"/>
    <w:rsid w:val="00686262"/>
    <w:rsid w:val="00690AC1"/>
    <w:rsid w:val="00691B47"/>
    <w:rsid w:val="006A4FDA"/>
    <w:rsid w:val="006A6755"/>
    <w:rsid w:val="006B2CBA"/>
    <w:rsid w:val="006B6EDB"/>
    <w:rsid w:val="006C0945"/>
    <w:rsid w:val="006C1FD5"/>
    <w:rsid w:val="006C42FA"/>
    <w:rsid w:val="006C43DB"/>
    <w:rsid w:val="006C5164"/>
    <w:rsid w:val="006C7160"/>
    <w:rsid w:val="006D08C7"/>
    <w:rsid w:val="006D1260"/>
    <w:rsid w:val="006D3791"/>
    <w:rsid w:val="006D6550"/>
    <w:rsid w:val="006E5DA9"/>
    <w:rsid w:val="006F0D5D"/>
    <w:rsid w:val="006F43CC"/>
    <w:rsid w:val="0070437C"/>
    <w:rsid w:val="00704F69"/>
    <w:rsid w:val="007120E5"/>
    <w:rsid w:val="0071426E"/>
    <w:rsid w:val="00714280"/>
    <w:rsid w:val="00715F27"/>
    <w:rsid w:val="00716836"/>
    <w:rsid w:val="007259AC"/>
    <w:rsid w:val="00726E57"/>
    <w:rsid w:val="00727AC6"/>
    <w:rsid w:val="00727FA1"/>
    <w:rsid w:val="00736A9B"/>
    <w:rsid w:val="00740B0C"/>
    <w:rsid w:val="00742EF8"/>
    <w:rsid w:val="00744EF3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2250"/>
    <w:rsid w:val="007934CE"/>
    <w:rsid w:val="007B06B1"/>
    <w:rsid w:val="007B2E05"/>
    <w:rsid w:val="007B6D4D"/>
    <w:rsid w:val="007C2569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1FC2"/>
    <w:rsid w:val="008035AD"/>
    <w:rsid w:val="0080527A"/>
    <w:rsid w:val="00807379"/>
    <w:rsid w:val="00811F42"/>
    <w:rsid w:val="0081269F"/>
    <w:rsid w:val="00822098"/>
    <w:rsid w:val="00823BE0"/>
    <w:rsid w:val="00834394"/>
    <w:rsid w:val="008355B3"/>
    <w:rsid w:val="008356DA"/>
    <w:rsid w:val="008414E3"/>
    <w:rsid w:val="008513B1"/>
    <w:rsid w:val="00854067"/>
    <w:rsid w:val="00864116"/>
    <w:rsid w:val="00864AA5"/>
    <w:rsid w:val="00876B4A"/>
    <w:rsid w:val="008826F4"/>
    <w:rsid w:val="00884F1B"/>
    <w:rsid w:val="00893B96"/>
    <w:rsid w:val="00894FE3"/>
    <w:rsid w:val="00896177"/>
    <w:rsid w:val="00897272"/>
    <w:rsid w:val="008B17CE"/>
    <w:rsid w:val="008B30A3"/>
    <w:rsid w:val="008B6DC1"/>
    <w:rsid w:val="008B72B9"/>
    <w:rsid w:val="008C0E0D"/>
    <w:rsid w:val="008C236C"/>
    <w:rsid w:val="008C3CB1"/>
    <w:rsid w:val="008C49D9"/>
    <w:rsid w:val="008C5C2F"/>
    <w:rsid w:val="008C648D"/>
    <w:rsid w:val="008C76B9"/>
    <w:rsid w:val="008D1070"/>
    <w:rsid w:val="008D39C2"/>
    <w:rsid w:val="008D4874"/>
    <w:rsid w:val="008D6724"/>
    <w:rsid w:val="008E06FC"/>
    <w:rsid w:val="008E091E"/>
    <w:rsid w:val="008E4805"/>
    <w:rsid w:val="008F19A1"/>
    <w:rsid w:val="008F289B"/>
    <w:rsid w:val="008F61A2"/>
    <w:rsid w:val="0090169B"/>
    <w:rsid w:val="009065F8"/>
    <w:rsid w:val="00911FD4"/>
    <w:rsid w:val="00913DD3"/>
    <w:rsid w:val="00916F74"/>
    <w:rsid w:val="009225C9"/>
    <w:rsid w:val="00926E3F"/>
    <w:rsid w:val="0093267B"/>
    <w:rsid w:val="00940FCF"/>
    <w:rsid w:val="00942D01"/>
    <w:rsid w:val="0095183D"/>
    <w:rsid w:val="00953D78"/>
    <w:rsid w:val="00954825"/>
    <w:rsid w:val="00956973"/>
    <w:rsid w:val="009631A7"/>
    <w:rsid w:val="00965972"/>
    <w:rsid w:val="00966D08"/>
    <w:rsid w:val="00971AEF"/>
    <w:rsid w:val="00972E51"/>
    <w:rsid w:val="00973D0D"/>
    <w:rsid w:val="00987F45"/>
    <w:rsid w:val="00992BC0"/>
    <w:rsid w:val="00996BCB"/>
    <w:rsid w:val="00997C75"/>
    <w:rsid w:val="009A3667"/>
    <w:rsid w:val="009A4AEE"/>
    <w:rsid w:val="009A63FE"/>
    <w:rsid w:val="009A6E5D"/>
    <w:rsid w:val="009B2EB5"/>
    <w:rsid w:val="009B4083"/>
    <w:rsid w:val="009C0295"/>
    <w:rsid w:val="009C76E9"/>
    <w:rsid w:val="009D0F2C"/>
    <w:rsid w:val="009D0F3B"/>
    <w:rsid w:val="009D1A21"/>
    <w:rsid w:val="009D76A7"/>
    <w:rsid w:val="009E0755"/>
    <w:rsid w:val="009E3BD3"/>
    <w:rsid w:val="009F57C2"/>
    <w:rsid w:val="00A00E7A"/>
    <w:rsid w:val="00A0295E"/>
    <w:rsid w:val="00A0307E"/>
    <w:rsid w:val="00A1162D"/>
    <w:rsid w:val="00A11914"/>
    <w:rsid w:val="00A1388F"/>
    <w:rsid w:val="00A2155D"/>
    <w:rsid w:val="00A25DA3"/>
    <w:rsid w:val="00A34C90"/>
    <w:rsid w:val="00A36098"/>
    <w:rsid w:val="00A37195"/>
    <w:rsid w:val="00A414AE"/>
    <w:rsid w:val="00A41706"/>
    <w:rsid w:val="00A56B77"/>
    <w:rsid w:val="00A60371"/>
    <w:rsid w:val="00A6557C"/>
    <w:rsid w:val="00A70449"/>
    <w:rsid w:val="00A72F3C"/>
    <w:rsid w:val="00A74739"/>
    <w:rsid w:val="00A806DA"/>
    <w:rsid w:val="00A80F45"/>
    <w:rsid w:val="00A853CD"/>
    <w:rsid w:val="00AA3C0F"/>
    <w:rsid w:val="00AA4400"/>
    <w:rsid w:val="00AA444B"/>
    <w:rsid w:val="00AA4D54"/>
    <w:rsid w:val="00AB1752"/>
    <w:rsid w:val="00AB2CA9"/>
    <w:rsid w:val="00AB6589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004AE"/>
    <w:rsid w:val="00B12C22"/>
    <w:rsid w:val="00B23079"/>
    <w:rsid w:val="00B24648"/>
    <w:rsid w:val="00B34973"/>
    <w:rsid w:val="00B40FD9"/>
    <w:rsid w:val="00B441CE"/>
    <w:rsid w:val="00B447EA"/>
    <w:rsid w:val="00B527B2"/>
    <w:rsid w:val="00B53124"/>
    <w:rsid w:val="00B53421"/>
    <w:rsid w:val="00B538F1"/>
    <w:rsid w:val="00B5681A"/>
    <w:rsid w:val="00B56E59"/>
    <w:rsid w:val="00B57649"/>
    <w:rsid w:val="00B62E22"/>
    <w:rsid w:val="00B67EF2"/>
    <w:rsid w:val="00B67FD2"/>
    <w:rsid w:val="00B700AD"/>
    <w:rsid w:val="00B70A46"/>
    <w:rsid w:val="00B75F40"/>
    <w:rsid w:val="00B80B6D"/>
    <w:rsid w:val="00B82784"/>
    <w:rsid w:val="00B83C19"/>
    <w:rsid w:val="00B83F37"/>
    <w:rsid w:val="00B87DE0"/>
    <w:rsid w:val="00B90A76"/>
    <w:rsid w:val="00BA2A6D"/>
    <w:rsid w:val="00BA76D5"/>
    <w:rsid w:val="00BA7CF8"/>
    <w:rsid w:val="00BB5319"/>
    <w:rsid w:val="00BB6F43"/>
    <w:rsid w:val="00BC275B"/>
    <w:rsid w:val="00BC34BB"/>
    <w:rsid w:val="00BC5AD8"/>
    <w:rsid w:val="00BD267B"/>
    <w:rsid w:val="00BD7741"/>
    <w:rsid w:val="00BE427E"/>
    <w:rsid w:val="00BE559A"/>
    <w:rsid w:val="00BE6D22"/>
    <w:rsid w:val="00BE7477"/>
    <w:rsid w:val="00C11361"/>
    <w:rsid w:val="00C15562"/>
    <w:rsid w:val="00C169EF"/>
    <w:rsid w:val="00C17390"/>
    <w:rsid w:val="00C17F87"/>
    <w:rsid w:val="00C232CB"/>
    <w:rsid w:val="00C244F8"/>
    <w:rsid w:val="00C32718"/>
    <w:rsid w:val="00C338BB"/>
    <w:rsid w:val="00C359ED"/>
    <w:rsid w:val="00C41D1E"/>
    <w:rsid w:val="00C42386"/>
    <w:rsid w:val="00C42C93"/>
    <w:rsid w:val="00C4498C"/>
    <w:rsid w:val="00C45CE8"/>
    <w:rsid w:val="00C517CB"/>
    <w:rsid w:val="00C54FC0"/>
    <w:rsid w:val="00C62C7A"/>
    <w:rsid w:val="00C84AF4"/>
    <w:rsid w:val="00C867FC"/>
    <w:rsid w:val="00C957E1"/>
    <w:rsid w:val="00CA09DD"/>
    <w:rsid w:val="00CA165B"/>
    <w:rsid w:val="00CA2C10"/>
    <w:rsid w:val="00CC05E7"/>
    <w:rsid w:val="00CC4906"/>
    <w:rsid w:val="00CD03CF"/>
    <w:rsid w:val="00CD0B4E"/>
    <w:rsid w:val="00CD267D"/>
    <w:rsid w:val="00CD3855"/>
    <w:rsid w:val="00CD4656"/>
    <w:rsid w:val="00CD5E4F"/>
    <w:rsid w:val="00CD5F31"/>
    <w:rsid w:val="00CE0F97"/>
    <w:rsid w:val="00CF24B0"/>
    <w:rsid w:val="00D005EA"/>
    <w:rsid w:val="00D01EA1"/>
    <w:rsid w:val="00D02A84"/>
    <w:rsid w:val="00D04FAC"/>
    <w:rsid w:val="00D14EA0"/>
    <w:rsid w:val="00D154D9"/>
    <w:rsid w:val="00D24AF7"/>
    <w:rsid w:val="00D2654E"/>
    <w:rsid w:val="00D347C0"/>
    <w:rsid w:val="00D3493D"/>
    <w:rsid w:val="00D46605"/>
    <w:rsid w:val="00D52C5C"/>
    <w:rsid w:val="00D542B4"/>
    <w:rsid w:val="00D55E66"/>
    <w:rsid w:val="00D57CE0"/>
    <w:rsid w:val="00D6083D"/>
    <w:rsid w:val="00D61E87"/>
    <w:rsid w:val="00D6404D"/>
    <w:rsid w:val="00D6432E"/>
    <w:rsid w:val="00D6674D"/>
    <w:rsid w:val="00D67502"/>
    <w:rsid w:val="00D71D76"/>
    <w:rsid w:val="00D762E5"/>
    <w:rsid w:val="00D80FCB"/>
    <w:rsid w:val="00D81018"/>
    <w:rsid w:val="00D819C0"/>
    <w:rsid w:val="00D83189"/>
    <w:rsid w:val="00D8447A"/>
    <w:rsid w:val="00D9069F"/>
    <w:rsid w:val="00D97B0D"/>
    <w:rsid w:val="00DA233A"/>
    <w:rsid w:val="00DA4179"/>
    <w:rsid w:val="00DA5A04"/>
    <w:rsid w:val="00DA5B78"/>
    <w:rsid w:val="00DB2126"/>
    <w:rsid w:val="00DB2714"/>
    <w:rsid w:val="00DC1699"/>
    <w:rsid w:val="00DC758E"/>
    <w:rsid w:val="00DC7C6F"/>
    <w:rsid w:val="00DD0BEB"/>
    <w:rsid w:val="00DD2433"/>
    <w:rsid w:val="00DD49CB"/>
    <w:rsid w:val="00DE052C"/>
    <w:rsid w:val="00DE0AE4"/>
    <w:rsid w:val="00DE0C5F"/>
    <w:rsid w:val="00DE2AAD"/>
    <w:rsid w:val="00DE7277"/>
    <w:rsid w:val="00DF0262"/>
    <w:rsid w:val="00DF48E9"/>
    <w:rsid w:val="00DF6D57"/>
    <w:rsid w:val="00DF701C"/>
    <w:rsid w:val="00E025D7"/>
    <w:rsid w:val="00E06CD1"/>
    <w:rsid w:val="00E12275"/>
    <w:rsid w:val="00E12454"/>
    <w:rsid w:val="00E13485"/>
    <w:rsid w:val="00E14F65"/>
    <w:rsid w:val="00E162C7"/>
    <w:rsid w:val="00E16C99"/>
    <w:rsid w:val="00E17C6A"/>
    <w:rsid w:val="00E2400D"/>
    <w:rsid w:val="00E30977"/>
    <w:rsid w:val="00E4125C"/>
    <w:rsid w:val="00E41CF7"/>
    <w:rsid w:val="00E449EB"/>
    <w:rsid w:val="00E45C04"/>
    <w:rsid w:val="00E47593"/>
    <w:rsid w:val="00E478FC"/>
    <w:rsid w:val="00E603A4"/>
    <w:rsid w:val="00E610B2"/>
    <w:rsid w:val="00E629ED"/>
    <w:rsid w:val="00E6300F"/>
    <w:rsid w:val="00E63032"/>
    <w:rsid w:val="00E66AF3"/>
    <w:rsid w:val="00E86CF0"/>
    <w:rsid w:val="00E928E7"/>
    <w:rsid w:val="00E979DE"/>
    <w:rsid w:val="00EA4424"/>
    <w:rsid w:val="00EB49CE"/>
    <w:rsid w:val="00EC4862"/>
    <w:rsid w:val="00EC53AE"/>
    <w:rsid w:val="00EC58EA"/>
    <w:rsid w:val="00ED0A41"/>
    <w:rsid w:val="00ED3E53"/>
    <w:rsid w:val="00ED4C74"/>
    <w:rsid w:val="00ED4CE9"/>
    <w:rsid w:val="00EE288B"/>
    <w:rsid w:val="00EE521B"/>
    <w:rsid w:val="00EE6095"/>
    <w:rsid w:val="00EE7CDE"/>
    <w:rsid w:val="00EF0AF2"/>
    <w:rsid w:val="00EF0BAB"/>
    <w:rsid w:val="00EF10C0"/>
    <w:rsid w:val="00EF3163"/>
    <w:rsid w:val="00F06109"/>
    <w:rsid w:val="00F10383"/>
    <w:rsid w:val="00F1122C"/>
    <w:rsid w:val="00F14871"/>
    <w:rsid w:val="00F15538"/>
    <w:rsid w:val="00F20FFE"/>
    <w:rsid w:val="00F23CE7"/>
    <w:rsid w:val="00F27AF4"/>
    <w:rsid w:val="00F3709A"/>
    <w:rsid w:val="00F371CB"/>
    <w:rsid w:val="00F43971"/>
    <w:rsid w:val="00F4508F"/>
    <w:rsid w:val="00F456E5"/>
    <w:rsid w:val="00F50FD3"/>
    <w:rsid w:val="00F6088B"/>
    <w:rsid w:val="00F60EA8"/>
    <w:rsid w:val="00F628D0"/>
    <w:rsid w:val="00F63B03"/>
    <w:rsid w:val="00F664C8"/>
    <w:rsid w:val="00F6727B"/>
    <w:rsid w:val="00F71155"/>
    <w:rsid w:val="00F72015"/>
    <w:rsid w:val="00F73738"/>
    <w:rsid w:val="00F817A5"/>
    <w:rsid w:val="00F8290E"/>
    <w:rsid w:val="00F836E6"/>
    <w:rsid w:val="00F87A33"/>
    <w:rsid w:val="00F91680"/>
    <w:rsid w:val="00F9286F"/>
    <w:rsid w:val="00F96EE9"/>
    <w:rsid w:val="00F97C28"/>
    <w:rsid w:val="00FA440D"/>
    <w:rsid w:val="00FA75DC"/>
    <w:rsid w:val="00FB14BA"/>
    <w:rsid w:val="00FB6EC4"/>
    <w:rsid w:val="00FC08DF"/>
    <w:rsid w:val="00FC3BE0"/>
    <w:rsid w:val="00FC3EB4"/>
    <w:rsid w:val="00FC4D46"/>
    <w:rsid w:val="00FD295A"/>
    <w:rsid w:val="00FE51A0"/>
    <w:rsid w:val="00FF0B11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8D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energyprize.org/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a.org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eg-observatory.org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obalenergypriz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mova@ge-priz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2434-8717-4216-B7D5-AA8CD64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Lilit Ovsepyan</cp:lastModifiedBy>
  <cp:revision>55</cp:revision>
  <cp:lastPrinted>2018-09-07T13:20:00Z</cp:lastPrinted>
  <dcterms:created xsi:type="dcterms:W3CDTF">2018-09-05T16:07:00Z</dcterms:created>
  <dcterms:modified xsi:type="dcterms:W3CDTF">2018-09-09T10:16:00Z</dcterms:modified>
</cp:coreProperties>
</file>